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1B826" w14:textId="3938CE99" w:rsidR="00841BCD" w:rsidRPr="00EF698B" w:rsidRDefault="00841BCD" w:rsidP="392703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eastAsia="zh-CN"/>
        </w:rPr>
      </w:pPr>
      <w:bookmarkStart w:id="0" w:name="OLE_LINK5"/>
      <w:bookmarkStart w:id="1" w:name="OLE_LINK6"/>
      <w:r w:rsidRPr="392703CD">
        <w:rPr>
          <w:rFonts w:ascii="Arial" w:eastAsia="SimSun" w:hAnsi="Arial" w:cs="Times New Roman"/>
          <w:b/>
          <w:bCs/>
          <w:sz w:val="24"/>
          <w:szCs w:val="24"/>
        </w:rPr>
        <w:t>3GPP T</w:t>
      </w:r>
      <w:bookmarkStart w:id="2" w:name="_Ref452454252"/>
      <w:bookmarkEnd w:id="2"/>
      <w:r w:rsidRPr="392703CD">
        <w:rPr>
          <w:rFonts w:ascii="Arial" w:eastAsia="SimSun" w:hAnsi="Arial" w:cs="Times New Roman"/>
          <w:b/>
          <w:bCs/>
          <w:sz w:val="24"/>
          <w:szCs w:val="24"/>
        </w:rPr>
        <w:t xml:space="preserve">SG-RAN </w:t>
      </w:r>
      <w:r w:rsidR="00ED7600" w:rsidRPr="392703CD">
        <w:rPr>
          <w:rFonts w:ascii="Arial" w:eastAsia="SimSun" w:hAnsi="Arial" w:cs="Times New Roman"/>
          <w:b/>
          <w:bCs/>
          <w:sz w:val="24"/>
          <w:szCs w:val="24"/>
        </w:rPr>
        <w:t>WG4 Meeting #</w:t>
      </w:r>
      <w:r w:rsidR="001868EE" w:rsidRPr="392703CD">
        <w:rPr>
          <w:rFonts w:ascii="Arial" w:eastAsia="SimSun" w:hAnsi="Arial" w:cs="Times New Roman"/>
          <w:b/>
          <w:bCs/>
          <w:sz w:val="24"/>
          <w:szCs w:val="24"/>
        </w:rPr>
        <w:t>10</w:t>
      </w:r>
      <w:r w:rsidR="005F044F">
        <w:rPr>
          <w:rFonts w:ascii="Arial" w:eastAsia="SimSun" w:hAnsi="Arial" w:cs="Times New Roman"/>
          <w:b/>
          <w:bCs/>
          <w:sz w:val="24"/>
          <w:szCs w:val="24"/>
        </w:rPr>
        <w:t>8</w:t>
      </w:r>
      <w:r w:rsidR="006A3C11" w:rsidRPr="392703CD">
        <w:rPr>
          <w:rFonts w:ascii="Arial" w:eastAsia="SimSun" w:hAnsi="Arial" w:cs="Times New Roman"/>
          <w:b/>
          <w:bCs/>
          <w:sz w:val="24"/>
          <w:szCs w:val="24"/>
        </w:rPr>
        <w:t xml:space="preserve"> </w:t>
      </w:r>
      <w:r>
        <w:tab/>
      </w:r>
      <w:r w:rsidRPr="392703CD">
        <w:rPr>
          <w:rFonts w:ascii="Arial" w:eastAsia="SimSun" w:hAnsi="Arial" w:cs="Times New Roman"/>
          <w:b/>
          <w:bCs/>
          <w:sz w:val="24"/>
          <w:szCs w:val="24"/>
          <w:lang w:eastAsia="ja-JP"/>
        </w:rPr>
        <w:t>R4-</w:t>
      </w:r>
      <w:r w:rsidR="00AE2BA5" w:rsidRPr="392703CD">
        <w:rPr>
          <w:rFonts w:ascii="Arial" w:eastAsia="SimSun" w:hAnsi="Arial" w:cs="Times New Roman"/>
          <w:b/>
          <w:bCs/>
          <w:sz w:val="24"/>
          <w:szCs w:val="24"/>
          <w:lang w:eastAsia="zh-CN"/>
        </w:rPr>
        <w:t>2</w:t>
      </w:r>
      <w:r w:rsidR="00F77BCA" w:rsidRPr="392703CD">
        <w:rPr>
          <w:rFonts w:ascii="Arial" w:eastAsia="SimSun" w:hAnsi="Arial" w:cs="Times New Roman"/>
          <w:b/>
          <w:bCs/>
          <w:sz w:val="24"/>
          <w:szCs w:val="24"/>
          <w:lang w:eastAsia="zh-CN"/>
        </w:rPr>
        <w:t>3</w:t>
      </w:r>
      <w:r w:rsidR="232639AC" w:rsidRPr="392703CD">
        <w:rPr>
          <w:rFonts w:ascii="Arial" w:eastAsia="SimSun" w:hAnsi="Arial" w:cs="Times New Roman"/>
          <w:b/>
          <w:bCs/>
          <w:sz w:val="24"/>
          <w:szCs w:val="24"/>
          <w:lang w:eastAsia="zh-CN"/>
        </w:rPr>
        <w:t>11558</w:t>
      </w:r>
    </w:p>
    <w:bookmarkEnd w:id="0"/>
    <w:bookmarkEnd w:id="1"/>
    <w:p w14:paraId="4362E762" w14:textId="1DA0E8FB" w:rsidR="00841BCD" w:rsidRDefault="00FC4F0B" w:rsidP="00841BCD">
      <w:pPr>
        <w:widowControl w:val="0"/>
        <w:overflowPunct w:val="0"/>
        <w:autoSpaceDE w:val="0"/>
        <w:autoSpaceDN w:val="0"/>
        <w:adjustRightInd w:val="0"/>
        <w:spacing w:after="0" w:line="240" w:lineRule="auto"/>
        <w:textAlignment w:val="baseline"/>
        <w:rPr>
          <w:rFonts w:ascii="Arial" w:eastAsia="SimSun" w:hAnsi="Arial" w:cs="Times New Roman"/>
          <w:b/>
          <w:sz w:val="24"/>
          <w:szCs w:val="20"/>
        </w:rPr>
      </w:pPr>
      <w:r>
        <w:rPr>
          <w:rFonts w:ascii="Arial" w:eastAsia="SimSun" w:hAnsi="Arial" w:cs="Times New Roman"/>
          <w:b/>
          <w:sz w:val="24"/>
          <w:szCs w:val="20"/>
        </w:rPr>
        <w:t>Toulouse</w:t>
      </w:r>
      <w:r w:rsidR="007274C2" w:rsidRPr="007274C2">
        <w:rPr>
          <w:rFonts w:ascii="Arial" w:eastAsia="SimSun" w:hAnsi="Arial" w:cs="Times New Roman"/>
          <w:b/>
          <w:sz w:val="24"/>
          <w:szCs w:val="20"/>
        </w:rPr>
        <w:t xml:space="preserve">, </w:t>
      </w:r>
      <w:r>
        <w:rPr>
          <w:rFonts w:ascii="Arial" w:eastAsia="SimSun" w:hAnsi="Arial" w:cs="Times New Roman"/>
          <w:b/>
          <w:sz w:val="24"/>
          <w:szCs w:val="20"/>
        </w:rPr>
        <w:t>France</w:t>
      </w:r>
      <w:r>
        <w:rPr>
          <w:rFonts w:ascii="Arial" w:eastAsia="SimSun" w:hAnsi="Arial" w:cs="Times New Roman"/>
          <w:b/>
          <w:sz w:val="24"/>
          <w:szCs w:val="20"/>
        </w:rPr>
        <w:tab/>
      </w:r>
      <w:r w:rsidR="007274C2" w:rsidRPr="007274C2">
        <w:rPr>
          <w:rFonts w:ascii="Arial" w:eastAsia="SimSun" w:hAnsi="Arial" w:cs="Times New Roman"/>
          <w:b/>
          <w:sz w:val="24"/>
          <w:szCs w:val="20"/>
        </w:rPr>
        <w:t xml:space="preserve"> </w:t>
      </w:r>
      <w:r>
        <w:rPr>
          <w:rFonts w:ascii="Arial" w:eastAsia="SimSun" w:hAnsi="Arial" w:cs="Times New Roman"/>
          <w:b/>
          <w:sz w:val="24"/>
          <w:szCs w:val="20"/>
        </w:rPr>
        <w:t xml:space="preserve">August </w:t>
      </w:r>
      <w:r w:rsidR="007274C2" w:rsidRPr="007274C2">
        <w:rPr>
          <w:rFonts w:ascii="Arial" w:eastAsia="SimSun" w:hAnsi="Arial" w:cs="Times New Roman"/>
          <w:b/>
          <w:sz w:val="24"/>
          <w:szCs w:val="20"/>
        </w:rPr>
        <w:t>2</w:t>
      </w:r>
      <w:r>
        <w:rPr>
          <w:rFonts w:ascii="Arial" w:eastAsia="SimSun" w:hAnsi="Arial" w:cs="Times New Roman"/>
          <w:b/>
          <w:sz w:val="24"/>
          <w:szCs w:val="20"/>
        </w:rPr>
        <w:t>1</w:t>
      </w:r>
      <w:r w:rsidR="007274C2" w:rsidRPr="007274C2">
        <w:rPr>
          <w:rFonts w:ascii="Arial" w:eastAsia="SimSun" w:hAnsi="Arial" w:cs="Times New Roman"/>
          <w:b/>
          <w:sz w:val="24"/>
          <w:szCs w:val="20"/>
        </w:rPr>
        <w:t xml:space="preserve"> – 2</w:t>
      </w:r>
      <w:r>
        <w:rPr>
          <w:rFonts w:ascii="Arial" w:eastAsia="SimSun" w:hAnsi="Arial" w:cs="Times New Roman"/>
          <w:b/>
          <w:sz w:val="24"/>
          <w:szCs w:val="20"/>
        </w:rPr>
        <w:t>5</w:t>
      </w:r>
      <w:r w:rsidR="007274C2" w:rsidRPr="007274C2">
        <w:rPr>
          <w:rFonts w:ascii="Arial" w:eastAsia="SimSun" w:hAnsi="Arial" w:cs="Times New Roman"/>
          <w:b/>
          <w:sz w:val="24"/>
          <w:szCs w:val="20"/>
        </w:rPr>
        <w:t>, 2023</w:t>
      </w:r>
    </w:p>
    <w:p w14:paraId="015183FB" w14:textId="77777777" w:rsidR="007274C2" w:rsidRPr="00EF698B" w:rsidRDefault="007274C2"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453811B"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528CAEDE" w14:textId="55CE9F5F"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FC4F0B">
        <w:rPr>
          <w:rFonts w:ascii="Arial" w:eastAsia="Calibri" w:hAnsi="Arial" w:cs="Arial"/>
          <w:b/>
          <w:bCs/>
          <w:sz w:val="24"/>
        </w:rPr>
        <w:t>M</w:t>
      </w:r>
      <w:r w:rsidR="00F81FFA">
        <w:rPr>
          <w:rFonts w:ascii="Arial" w:eastAsia="Calibri" w:hAnsi="Arial" w:cs="Arial"/>
          <w:b/>
          <w:bCs/>
          <w:sz w:val="24"/>
        </w:rPr>
        <w:t xml:space="preserve">obile IAB </w:t>
      </w:r>
      <w:r w:rsidR="000A1BB6">
        <w:rPr>
          <w:rFonts w:ascii="Arial" w:eastAsia="Calibri" w:hAnsi="Arial" w:cs="Arial"/>
          <w:b/>
          <w:bCs/>
          <w:sz w:val="24"/>
        </w:rPr>
        <w:t>coexistence</w:t>
      </w:r>
    </w:p>
    <w:p w14:paraId="7A1D4E1E" w14:textId="7E28F22F" w:rsidR="00841BCD" w:rsidRPr="00EF698B" w:rsidRDefault="00841BCD" w:rsidP="00841BCD">
      <w:pPr>
        <w:tabs>
          <w:tab w:val="left" w:pos="1985"/>
        </w:tabs>
        <w:spacing w:after="120" w:line="240" w:lineRule="auto"/>
        <w:rPr>
          <w:rFonts w:ascii="Arial" w:eastAsia="MS Mincho" w:hAnsi="Arial" w:cs="Arial"/>
          <w:b/>
          <w:bCs/>
          <w:sz w:val="24"/>
          <w:szCs w:val="24"/>
        </w:rPr>
      </w:pPr>
      <w:r w:rsidRPr="1E932B3B">
        <w:rPr>
          <w:rFonts w:ascii="Arial" w:eastAsia="MS Mincho" w:hAnsi="Arial" w:cs="Arial"/>
          <w:b/>
          <w:bCs/>
          <w:sz w:val="24"/>
          <w:szCs w:val="24"/>
        </w:rPr>
        <w:t>Agenda item:</w:t>
      </w:r>
      <w:r>
        <w:tab/>
      </w:r>
      <w:r w:rsidR="7E2E1739" w:rsidRPr="1E932B3B">
        <w:rPr>
          <w:rFonts w:ascii="Arial" w:eastAsia="MS Mincho" w:hAnsi="Arial" w:cs="Arial"/>
          <w:b/>
          <w:bCs/>
          <w:sz w:val="24"/>
          <w:szCs w:val="24"/>
        </w:rPr>
        <w:t>8</w:t>
      </w:r>
      <w:r w:rsidR="00F81FFA" w:rsidRPr="1E932B3B">
        <w:rPr>
          <w:rFonts w:ascii="Arial" w:eastAsia="MS Mincho" w:hAnsi="Arial" w:cs="Arial"/>
          <w:b/>
          <w:bCs/>
          <w:sz w:val="24"/>
          <w:szCs w:val="24"/>
        </w:rPr>
        <w:t>.3</w:t>
      </w:r>
      <w:r w:rsidR="009F1C2F">
        <w:rPr>
          <w:rFonts w:ascii="Arial" w:eastAsia="MS Mincho" w:hAnsi="Arial" w:cs="Arial"/>
          <w:b/>
          <w:bCs/>
          <w:sz w:val="24"/>
          <w:szCs w:val="24"/>
        </w:rPr>
        <w:t>3</w:t>
      </w:r>
      <w:r w:rsidR="00F81FFA" w:rsidRPr="1E932B3B">
        <w:rPr>
          <w:rFonts w:ascii="Arial" w:eastAsia="MS Mincho" w:hAnsi="Arial" w:cs="Arial"/>
          <w:b/>
          <w:bCs/>
          <w:sz w:val="24"/>
          <w:szCs w:val="24"/>
        </w:rPr>
        <w:t>.</w:t>
      </w:r>
      <w:r w:rsidR="000A1BB6">
        <w:rPr>
          <w:rFonts w:ascii="Arial" w:eastAsia="MS Mincho" w:hAnsi="Arial" w:cs="Arial"/>
          <w:b/>
          <w:bCs/>
          <w:sz w:val="24"/>
          <w:szCs w:val="24"/>
        </w:rPr>
        <w:t>2</w:t>
      </w:r>
      <w:r w:rsidR="00286A54">
        <w:t xml:space="preserve"> </w:t>
      </w:r>
      <w:r w:rsidR="000A1BB6">
        <w:rPr>
          <w:rFonts w:ascii="Arial" w:eastAsia="MS Mincho" w:hAnsi="Arial" w:cs="Arial"/>
          <w:b/>
          <w:bCs/>
          <w:sz w:val="24"/>
          <w:szCs w:val="24"/>
        </w:rPr>
        <w:t>Co-existence study</w:t>
      </w:r>
      <w:r w:rsidR="00286A54">
        <w:tab/>
      </w:r>
      <w:r w:rsidR="00F81FFA" w:rsidRPr="1E932B3B">
        <w:rPr>
          <w:rFonts w:ascii="Arial" w:eastAsia="MS Mincho" w:hAnsi="Arial" w:cs="Arial"/>
          <w:b/>
          <w:bCs/>
          <w:sz w:val="24"/>
          <w:szCs w:val="24"/>
        </w:rPr>
        <w:t>[NR_mobile_IAB-Core]</w:t>
      </w:r>
    </w:p>
    <w:p w14:paraId="514ABC13" w14:textId="2107BAA4"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9F1C2F">
        <w:rPr>
          <w:rFonts w:ascii="Arial" w:eastAsia="Calibri" w:hAnsi="Arial" w:cs="Arial"/>
          <w:b/>
          <w:bCs/>
          <w:sz w:val="24"/>
        </w:rPr>
        <w:t>Discussion and a</w:t>
      </w:r>
      <w:r w:rsidR="005637B2">
        <w:rPr>
          <w:rFonts w:ascii="Arial" w:eastAsia="Calibri" w:hAnsi="Arial" w:cs="Arial"/>
          <w:b/>
          <w:bCs/>
          <w:sz w:val="24"/>
        </w:rPr>
        <w:t>pproval</w:t>
      </w:r>
    </w:p>
    <w:p w14:paraId="3B1E0363" w14:textId="77777777" w:rsidR="00E323E9" w:rsidRPr="00EF698B" w:rsidRDefault="00E323E9" w:rsidP="00841BCD">
      <w:pPr>
        <w:tabs>
          <w:tab w:val="left" w:pos="1985"/>
        </w:tabs>
        <w:rPr>
          <w:rFonts w:ascii="Arial" w:eastAsia="Calibri" w:hAnsi="Arial" w:cs="Arial"/>
          <w:b/>
          <w:bCs/>
          <w:sz w:val="24"/>
        </w:rPr>
      </w:pPr>
    </w:p>
    <w:p w14:paraId="0974C8AE"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2D4461C9" w14:textId="5A5EB835" w:rsidR="00F81FFA" w:rsidRDefault="00F81FFA" w:rsidP="00F81FFA">
      <w:pPr>
        <w:rPr>
          <w:rFonts w:eastAsia="Times New Roman" w:cs="Times New Roman"/>
        </w:rPr>
      </w:pPr>
      <w:bookmarkStart w:id="4" w:name="_Hlk125455889"/>
      <w:r>
        <w:rPr>
          <w:rFonts w:eastAsia="Times New Roman" w:cs="Times New Roman"/>
        </w:rPr>
        <w:t>RAN4#106</w:t>
      </w:r>
      <w:r w:rsidR="00857830">
        <w:rPr>
          <w:rFonts w:eastAsia="Times New Roman" w:cs="Times New Roman"/>
        </w:rPr>
        <w:t>-bis</w:t>
      </w:r>
      <w:r>
        <w:rPr>
          <w:rFonts w:eastAsia="Times New Roman" w:cs="Times New Roman"/>
        </w:rPr>
        <w:t xml:space="preserve"> meeting </w:t>
      </w:r>
      <w:r w:rsidR="00857830">
        <w:rPr>
          <w:rFonts w:eastAsia="Times New Roman" w:cs="Times New Roman"/>
        </w:rPr>
        <w:t>continued</w:t>
      </w:r>
      <w:r>
        <w:rPr>
          <w:rFonts w:eastAsia="Times New Roman" w:cs="Times New Roman"/>
        </w:rPr>
        <w:t xml:space="preserve"> discussion on the work item for Mobile IAB [1]. The WI objectives specific for RAN4 were defined in work item description as follows:</w:t>
      </w:r>
    </w:p>
    <w:tbl>
      <w:tblPr>
        <w:tblStyle w:val="TableGrid"/>
        <w:tblW w:w="0" w:type="auto"/>
        <w:tblLook w:val="04A0" w:firstRow="1" w:lastRow="0" w:firstColumn="1" w:lastColumn="0" w:noHBand="0" w:noVBand="1"/>
      </w:tblPr>
      <w:tblGrid>
        <w:gridCol w:w="9617"/>
      </w:tblGrid>
      <w:tr w:rsidR="00F81FFA" w14:paraId="073917ED" w14:textId="77777777" w:rsidTr="00F81FFA">
        <w:tc>
          <w:tcPr>
            <w:tcW w:w="9617" w:type="dxa"/>
          </w:tcPr>
          <w:p w14:paraId="0213AD37" w14:textId="77777777" w:rsidR="00F81FFA" w:rsidRPr="00650C88" w:rsidRDefault="00F81FFA" w:rsidP="00F81FFA">
            <w:pPr>
              <w:pStyle w:val="maintext"/>
              <w:spacing w:line="240" w:lineRule="auto"/>
              <w:ind w:left="720" w:firstLineChars="0" w:firstLine="0"/>
              <w:jc w:val="left"/>
              <w:rPr>
                <w:rFonts w:eastAsia="Times New Roman" w:cs="Times New Roman"/>
                <w:i/>
                <w:iCs/>
                <w:sz w:val="20"/>
                <w:szCs w:val="20"/>
                <w:lang w:eastAsia="en-US"/>
              </w:rPr>
            </w:pPr>
            <w:r w:rsidRPr="00650C88">
              <w:rPr>
                <w:rFonts w:eastAsia="Times New Roman" w:cs="Times New Roman"/>
                <w:i/>
                <w:iCs/>
                <w:sz w:val="20"/>
                <w:szCs w:val="20"/>
                <w:lang w:eastAsia="en-US"/>
              </w:rPr>
              <w:t>RAN4 is expected to study impact on RF and RRM requirements:</w:t>
            </w:r>
          </w:p>
          <w:p w14:paraId="47E8C570" w14:textId="77777777" w:rsidR="00F81FFA" w:rsidRPr="00650C88" w:rsidRDefault="00F81FFA" w:rsidP="00F81FFA">
            <w:pPr>
              <w:pStyle w:val="maintext"/>
              <w:numPr>
                <w:ilvl w:val="0"/>
                <w:numId w:val="28"/>
              </w:numPr>
              <w:spacing w:before="0" w:after="0" w:line="240" w:lineRule="auto"/>
              <w:ind w:left="1434" w:firstLineChars="0" w:hanging="357"/>
              <w:jc w:val="left"/>
              <w:rPr>
                <w:rFonts w:eastAsia="Times New Roman" w:cs="Times New Roman"/>
                <w:i/>
                <w:iCs/>
                <w:sz w:val="20"/>
                <w:szCs w:val="20"/>
                <w:lang w:eastAsia="en-US"/>
              </w:rPr>
            </w:pPr>
            <w:r w:rsidRPr="00650C88">
              <w:rPr>
                <w:rFonts w:eastAsia="Times New Roman" w:cs="Times New Roman"/>
                <w:i/>
                <w:iCs/>
                <w:sz w:val="20"/>
                <w:szCs w:val="20"/>
                <w:lang w:eastAsia="en-US"/>
              </w:rPr>
              <w:t xml:space="preserve">Conduct co-existence study to assess the impact of moving cells. Based on the study outcome, specify RF and RRM requirements and mechanisms for the mobile IAB-node to enable co-existence, if needed. </w:t>
            </w:r>
          </w:p>
          <w:p w14:paraId="47EB24D8" w14:textId="77777777" w:rsidR="00F81FFA" w:rsidRPr="00650C88" w:rsidRDefault="00F81FFA" w:rsidP="00F81FFA">
            <w:pPr>
              <w:pStyle w:val="maintext"/>
              <w:numPr>
                <w:ilvl w:val="0"/>
                <w:numId w:val="28"/>
              </w:numPr>
              <w:spacing w:before="0" w:line="240" w:lineRule="auto"/>
              <w:ind w:left="1434" w:firstLineChars="0" w:hanging="357"/>
              <w:jc w:val="left"/>
              <w:rPr>
                <w:rFonts w:eastAsia="Times New Roman" w:cs="Times New Roman"/>
                <w:i/>
                <w:iCs/>
                <w:sz w:val="20"/>
                <w:szCs w:val="20"/>
                <w:lang w:eastAsia="en-US"/>
              </w:rPr>
            </w:pPr>
            <w:r w:rsidRPr="00650C88">
              <w:rPr>
                <w:rFonts w:eastAsia="Times New Roman" w:cs="Times New Roman"/>
                <w:i/>
                <w:iCs/>
                <w:sz w:val="20"/>
                <w:szCs w:val="20"/>
                <w:lang w:eastAsia="en-US"/>
              </w:rPr>
              <w:t>Specify RRM requirements for the mobile IAB-node to enable IAB-node mobility, if needed.</w:t>
            </w:r>
          </w:p>
          <w:p w14:paraId="7707F46E" w14:textId="77777777" w:rsidR="00F81FFA" w:rsidRDefault="00F81FFA" w:rsidP="00F81FFA">
            <w:pPr>
              <w:rPr>
                <w:rFonts w:eastAsia="Times New Roman" w:cs="Times New Roman"/>
              </w:rPr>
            </w:pPr>
          </w:p>
        </w:tc>
      </w:tr>
    </w:tbl>
    <w:p w14:paraId="294DF4FE" w14:textId="501DA114" w:rsidR="00F81FFA" w:rsidRDefault="00F81FFA" w:rsidP="00F81FFA"/>
    <w:p w14:paraId="06938F32" w14:textId="6DF3A90A" w:rsidR="00FC4F0B" w:rsidRDefault="00FC4F0B" w:rsidP="00F81FFA">
      <w:r>
        <w:t>RAN4#107 agreed the way forward for the co-existence study as follows, [2]:</w:t>
      </w:r>
    </w:p>
    <w:p w14:paraId="5BFF3BF1" w14:textId="77777777" w:rsidR="00FC4F0B" w:rsidRDefault="00FC4F0B" w:rsidP="00FC4F0B">
      <w:pPr>
        <w:pStyle w:val="ListParagraph"/>
        <w:numPr>
          <w:ilvl w:val="0"/>
          <w:numId w:val="32"/>
        </w:numPr>
        <w:spacing w:after="0" w:line="256" w:lineRule="auto"/>
        <w:contextualSpacing w:val="0"/>
        <w:rPr>
          <w:u w:val="single"/>
          <w:lang w:val="en-GB"/>
        </w:rPr>
      </w:pPr>
      <w:r>
        <w:rPr>
          <w:rFonts w:eastAsia="SimSun"/>
          <w:szCs w:val="24"/>
          <w:lang w:eastAsia="zh-CN"/>
        </w:rPr>
        <w:t>Exclude scenarios 1, 4, 6 and 8 from scenarios given in R4-2305935</w:t>
      </w:r>
    </w:p>
    <w:p w14:paraId="40252E4E" w14:textId="0BD53CB4" w:rsidR="00FC4F0B" w:rsidRDefault="00FC4F0B" w:rsidP="00FC4F0B">
      <w:pPr>
        <w:pStyle w:val="ListParagraph"/>
        <w:numPr>
          <w:ilvl w:val="0"/>
          <w:numId w:val="32"/>
        </w:numPr>
        <w:spacing w:after="0" w:line="256" w:lineRule="auto"/>
        <w:contextualSpacing w:val="0"/>
        <w:rPr>
          <w:lang w:val="en-GB"/>
        </w:rPr>
      </w:pPr>
      <w:r>
        <w:rPr>
          <w:lang w:val="en-GB"/>
        </w:rPr>
        <w:t>IAB-MT antenna modelling: Consider the 3 panel with 120-degree shift IAB-MT antenna model in coexisting simulation.</w:t>
      </w:r>
    </w:p>
    <w:p w14:paraId="5639C321" w14:textId="5C44C03B" w:rsidR="00FC4F0B" w:rsidRPr="00FC4F0B" w:rsidRDefault="00FC4F0B" w:rsidP="00FC4F0B">
      <w:pPr>
        <w:pStyle w:val="ListParagraph"/>
        <w:numPr>
          <w:ilvl w:val="0"/>
          <w:numId w:val="32"/>
        </w:numPr>
        <w:spacing w:after="0" w:line="256" w:lineRule="auto"/>
        <w:contextualSpacing w:val="0"/>
        <w:rPr>
          <w:lang w:val="en-GB"/>
        </w:rPr>
      </w:pPr>
      <w:r>
        <w:rPr>
          <w:lang w:val="en-GB"/>
        </w:rPr>
        <w:t>IAB-DU antenna modelling: Use same assumption for mobile IAB-DU and IAB-MT as starting point for initial co-existence simulations.</w:t>
      </w:r>
    </w:p>
    <w:p w14:paraId="04F62C69" w14:textId="77777777" w:rsidR="00FC4F0B" w:rsidRDefault="00FC4F0B" w:rsidP="00FC4F0B">
      <w:pPr>
        <w:pStyle w:val="ListParagraph"/>
        <w:numPr>
          <w:ilvl w:val="1"/>
          <w:numId w:val="32"/>
        </w:numPr>
        <w:spacing w:after="0" w:line="256" w:lineRule="auto"/>
        <w:contextualSpacing w:val="0"/>
        <w:rPr>
          <w:lang w:val="en-GB"/>
        </w:rPr>
      </w:pPr>
      <w:r>
        <w:rPr>
          <w:lang w:val="en-GB"/>
        </w:rPr>
        <w:t>Other options not precluded for mobile IAB-DU antenna modelling and deployment scenarios.</w:t>
      </w:r>
    </w:p>
    <w:p w14:paraId="433F242D" w14:textId="77777777" w:rsidR="00FC4F0B" w:rsidRDefault="00FC4F0B" w:rsidP="00FC4F0B">
      <w:pPr>
        <w:pStyle w:val="ListParagraph"/>
        <w:numPr>
          <w:ilvl w:val="0"/>
          <w:numId w:val="33"/>
        </w:numPr>
        <w:spacing w:after="120" w:line="256" w:lineRule="auto"/>
        <w:contextualSpacing w:val="0"/>
      </w:pPr>
      <w:r>
        <w:t>Mobile IAB nodes randomly dropped in terms of location and rotation within each cell.</w:t>
      </w:r>
    </w:p>
    <w:p w14:paraId="685BAA50" w14:textId="77777777" w:rsidR="00FC4F0B" w:rsidRDefault="00FC4F0B" w:rsidP="00FC4F0B">
      <w:pPr>
        <w:pStyle w:val="ListParagraph"/>
        <w:numPr>
          <w:ilvl w:val="0"/>
          <w:numId w:val="33"/>
        </w:numPr>
        <w:spacing w:after="120" w:line="256" w:lineRule="auto"/>
        <w:contextualSpacing w:val="0"/>
      </w:pPr>
      <w:r>
        <w:rPr>
          <w:bCs/>
        </w:rPr>
        <w:t>RAN4 agree on static drop methodology without any temporal evolution modelling for the coexistence study of mobile IAB.</w:t>
      </w:r>
    </w:p>
    <w:p w14:paraId="1FA1A258" w14:textId="77777777" w:rsidR="00FC4F0B" w:rsidRDefault="00FC4F0B" w:rsidP="00FC4F0B">
      <w:pPr>
        <w:pStyle w:val="ListParagraph"/>
        <w:numPr>
          <w:ilvl w:val="0"/>
          <w:numId w:val="33"/>
        </w:numPr>
        <w:spacing w:after="120" w:line="256" w:lineRule="auto"/>
        <w:contextualSpacing w:val="0"/>
      </w:pPr>
      <w:r>
        <w:t>Further discuss Whether the O2I car penetration loss in TR 38.901 is applicable for the interference link for mobile IAB DU and further discuss differences to propagation models considered in TR 38.809.</w:t>
      </w:r>
    </w:p>
    <w:p w14:paraId="16DDD74C" w14:textId="77777777" w:rsidR="00FC4F0B" w:rsidRDefault="00FC4F0B" w:rsidP="00FC4F0B">
      <w:pPr>
        <w:pStyle w:val="ListParagraph"/>
        <w:numPr>
          <w:ilvl w:val="0"/>
          <w:numId w:val="33"/>
        </w:numPr>
        <w:spacing w:after="120" w:line="256" w:lineRule="auto"/>
        <w:contextualSpacing w:val="0"/>
      </w:pPr>
      <w:r>
        <w:rPr>
          <w:bCs/>
        </w:rPr>
        <w:t>RAN4 to re-use the assumptions agreed in TR 38.874 for the IAB-node and candidate serving IAB-nodes/donors pathloss model pathloss model either for FR1 and FR2.</w:t>
      </w:r>
    </w:p>
    <w:p w14:paraId="37A8C6DD" w14:textId="589776C1" w:rsidR="00FC4F0B" w:rsidRPr="00AA48EB" w:rsidRDefault="00AA48EB" w:rsidP="00F81FFA">
      <w:r>
        <w:t>For additional simulation parameters, definitions of the following Table were agreed:</w:t>
      </w:r>
    </w:p>
    <w:tbl>
      <w:tblPr>
        <w:tblpPr w:leftFromText="180" w:rightFromText="180" w:vertAnchor="text" w:horzAnchor="margin" w:tblpXSpec="center" w:tblpY="25"/>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8"/>
        <w:gridCol w:w="5481"/>
      </w:tblGrid>
      <w:tr w:rsidR="00AA48EB" w14:paraId="1A3F20AE" w14:textId="77777777" w:rsidTr="002512F2">
        <w:trPr>
          <w:trHeight w:val="983"/>
        </w:trPr>
        <w:tc>
          <w:tcPr>
            <w:tcW w:w="3728" w:type="dxa"/>
            <w:tcBorders>
              <w:top w:val="single" w:sz="4" w:space="0" w:color="auto"/>
              <w:left w:val="single" w:sz="4" w:space="0" w:color="auto"/>
              <w:bottom w:val="single" w:sz="4" w:space="0" w:color="auto"/>
              <w:right w:val="single" w:sz="4" w:space="0" w:color="auto"/>
            </w:tcBorders>
            <w:hideMark/>
          </w:tcPr>
          <w:p w14:paraId="58263453" w14:textId="77777777" w:rsidR="00AA48EB" w:rsidRDefault="00AA48EB">
            <w:pPr>
              <w:pStyle w:val="TAL"/>
              <w:rPr>
                <w:lang w:eastAsia="ja-JP"/>
              </w:rPr>
            </w:pPr>
            <w:r>
              <w:rPr>
                <w:lang w:eastAsia="ja-JP"/>
              </w:rPr>
              <w:t>Large-scale channel parameters</w:t>
            </w:r>
          </w:p>
        </w:tc>
        <w:tc>
          <w:tcPr>
            <w:tcW w:w="5481" w:type="dxa"/>
            <w:tcBorders>
              <w:top w:val="single" w:sz="4" w:space="0" w:color="auto"/>
              <w:left w:val="single" w:sz="4" w:space="0" w:color="auto"/>
              <w:bottom w:val="single" w:sz="4" w:space="0" w:color="auto"/>
              <w:right w:val="single" w:sz="4" w:space="0" w:color="auto"/>
            </w:tcBorders>
          </w:tcPr>
          <w:p w14:paraId="4CB23FF9" w14:textId="77777777" w:rsidR="00AA48EB" w:rsidRDefault="00AA48EB">
            <w:pPr>
              <w:pStyle w:val="TAL"/>
              <w:rPr>
                <w:lang w:eastAsia="ja-JP"/>
              </w:rPr>
            </w:pPr>
            <w:r>
              <w:rPr>
                <w:u w:val="single"/>
                <w:lang w:eastAsia="ja-JP"/>
              </w:rPr>
              <w:t>FR1</w:t>
            </w:r>
            <w:r>
              <w:rPr>
                <w:lang w:eastAsia="ja-JP"/>
              </w:rPr>
              <w:t>:</w:t>
            </w:r>
          </w:p>
          <w:p w14:paraId="6D4D1BE8" w14:textId="77777777" w:rsidR="00AA48EB" w:rsidRDefault="00AA48EB">
            <w:pPr>
              <w:pStyle w:val="TAL"/>
              <w:rPr>
                <w:lang w:eastAsia="ko-KR"/>
              </w:rPr>
            </w:pPr>
            <w:r>
              <w:rPr>
                <w:lang w:eastAsia="ja-JP"/>
              </w:rPr>
              <w:t xml:space="preserve">- </w:t>
            </w:r>
            <w:r>
              <w:t>Macro-to-UE: UMa (TR 38.803) </w:t>
            </w:r>
          </w:p>
          <w:p w14:paraId="42347510" w14:textId="77777777" w:rsidR="00AA48EB" w:rsidRDefault="00AA48EB">
            <w:pPr>
              <w:pStyle w:val="TAL"/>
              <w:rPr>
                <w:lang w:eastAsia="ja-JP"/>
              </w:rPr>
            </w:pPr>
            <w:r>
              <w:t>- Macro-to-Micro: UMa (h</w:t>
            </w:r>
            <w:r>
              <w:rPr>
                <w:vertAlign w:val="subscript"/>
              </w:rPr>
              <w:t>UE</w:t>
            </w:r>
            <w:r>
              <w:t xml:space="preserve"> =10m, 4m for mIAB)</w:t>
            </w:r>
          </w:p>
          <w:p w14:paraId="717BC24C" w14:textId="77777777" w:rsidR="00AA48EB" w:rsidRDefault="00AA48EB">
            <w:pPr>
              <w:pStyle w:val="TAL"/>
              <w:rPr>
                <w:lang w:eastAsia="ja-JP"/>
              </w:rPr>
            </w:pPr>
            <w:r>
              <w:rPr>
                <w:lang w:eastAsia="ja-JP"/>
              </w:rPr>
              <w:t>- Micro-to-Micro: UMi (h</w:t>
            </w:r>
            <w:r>
              <w:rPr>
                <w:vertAlign w:val="subscript"/>
                <w:lang w:eastAsia="ja-JP"/>
              </w:rPr>
              <w:t>UE</w:t>
            </w:r>
            <w:r>
              <w:rPr>
                <w:lang w:eastAsia="ja-JP"/>
              </w:rPr>
              <w:t xml:space="preserve"> =10m, 4m for mIAB)</w:t>
            </w:r>
          </w:p>
          <w:p w14:paraId="33D9D57F" w14:textId="77777777" w:rsidR="00AA48EB" w:rsidRDefault="00AA48EB">
            <w:pPr>
              <w:pStyle w:val="TAL"/>
              <w:rPr>
                <w:lang w:eastAsia="ja-JP"/>
              </w:rPr>
            </w:pPr>
            <w:r>
              <w:rPr>
                <w:lang w:eastAsia="ja-JP"/>
              </w:rPr>
              <w:t xml:space="preserve">- UE-to-UE: </w:t>
            </w:r>
            <w:r>
              <w:t xml:space="preserve"> </w:t>
            </w:r>
            <w:r>
              <w:rPr>
                <w:lang w:eastAsia="ja-JP"/>
              </w:rPr>
              <w:t>UMi (h</w:t>
            </w:r>
            <w:r>
              <w:rPr>
                <w:vertAlign w:val="subscript"/>
                <w:lang w:eastAsia="ja-JP"/>
              </w:rPr>
              <w:t>BS</w:t>
            </w:r>
            <w:r>
              <w:rPr>
                <w:lang w:eastAsia="ja-JP"/>
              </w:rPr>
              <w:t xml:space="preserve"> =1.5 m ~ 22.5 m) + penetration loss (TR 38.803)</w:t>
            </w:r>
          </w:p>
          <w:p w14:paraId="46E03497" w14:textId="77777777" w:rsidR="00AA48EB" w:rsidRDefault="00AA48EB">
            <w:pPr>
              <w:pStyle w:val="TAL"/>
              <w:rPr>
                <w:lang w:eastAsia="ja-JP"/>
              </w:rPr>
            </w:pPr>
            <w:r>
              <w:rPr>
                <w:lang w:eastAsia="ja-JP"/>
              </w:rPr>
              <w:t xml:space="preserve">Note: </w:t>
            </w:r>
            <w:r>
              <w:t xml:space="preserve"> </w:t>
            </w:r>
            <w:r>
              <w:rPr>
                <w:lang w:eastAsia="ja-JP"/>
              </w:rPr>
              <w:t>UMi model is not applicable when 2D distance is less than 10m, instead FSPL is applicable</w:t>
            </w:r>
          </w:p>
          <w:p w14:paraId="224E5B53" w14:textId="77777777" w:rsidR="00AA48EB" w:rsidRDefault="00AA48EB">
            <w:pPr>
              <w:pStyle w:val="TAL"/>
              <w:rPr>
                <w:lang w:eastAsia="ja-JP"/>
              </w:rPr>
            </w:pPr>
          </w:p>
          <w:p w14:paraId="33124A28" w14:textId="77777777" w:rsidR="00AA48EB" w:rsidRDefault="00AA48EB">
            <w:pPr>
              <w:pStyle w:val="TAL"/>
              <w:rPr>
                <w:lang w:eastAsia="ja-JP"/>
              </w:rPr>
            </w:pPr>
            <w:r>
              <w:rPr>
                <w:u w:val="single"/>
                <w:lang w:eastAsia="ja-JP"/>
              </w:rPr>
              <w:t>FR2</w:t>
            </w:r>
            <w:r>
              <w:rPr>
                <w:lang w:eastAsia="ja-JP"/>
              </w:rPr>
              <w:t>:</w:t>
            </w:r>
          </w:p>
          <w:p w14:paraId="5FB3B38D" w14:textId="77777777" w:rsidR="00AA48EB" w:rsidRDefault="00AA48EB">
            <w:pPr>
              <w:pStyle w:val="TAL"/>
              <w:rPr>
                <w:lang w:eastAsia="ja-JP"/>
              </w:rPr>
            </w:pPr>
            <w:r>
              <w:rPr>
                <w:lang w:eastAsia="ja-JP"/>
              </w:rPr>
              <w:t>- Micro-to-Micro: UMi-Street canyon (h</w:t>
            </w:r>
            <w:r>
              <w:rPr>
                <w:vertAlign w:val="subscript"/>
                <w:lang w:eastAsia="ja-JP"/>
              </w:rPr>
              <w:t>UE</w:t>
            </w:r>
            <w:r>
              <w:rPr>
                <w:lang w:eastAsia="ja-JP"/>
              </w:rPr>
              <w:t xml:space="preserve"> =10m</w:t>
            </w:r>
            <w:proofErr w:type="gramStart"/>
            <w:r>
              <w:rPr>
                <w:lang w:eastAsia="ja-JP"/>
              </w:rPr>
              <w:t xml:space="preserve">, </w:t>
            </w:r>
            <w:r>
              <w:t>,</w:t>
            </w:r>
            <w:proofErr w:type="gramEnd"/>
            <w:r>
              <w:t xml:space="preserve"> 4m for mIAB</w:t>
            </w:r>
            <w:r>
              <w:rPr>
                <w:lang w:eastAsia="ja-JP"/>
              </w:rPr>
              <w:t>)</w:t>
            </w:r>
          </w:p>
          <w:p w14:paraId="0BFC0BF5" w14:textId="77777777" w:rsidR="00AA48EB" w:rsidRDefault="00AA48EB">
            <w:pPr>
              <w:pStyle w:val="TAL"/>
              <w:rPr>
                <w:lang w:eastAsia="ja-JP"/>
              </w:rPr>
            </w:pPr>
          </w:p>
          <w:p w14:paraId="5F636069" w14:textId="77777777" w:rsidR="00AA48EB" w:rsidRDefault="00AA48EB">
            <w:pPr>
              <w:pStyle w:val="TAL"/>
              <w:rPr>
                <w:lang w:eastAsia="ja-JP"/>
              </w:rPr>
            </w:pPr>
            <w:r>
              <w:rPr>
                <w:lang w:eastAsia="ja-JP"/>
              </w:rPr>
              <w:t xml:space="preserve">The path loss for links between the IAB-node and candidate serving IAB-nodes/donors is determined based on N =3 </w:t>
            </w:r>
            <w:r>
              <w:rPr>
                <w:lang w:eastAsia="ja-JP"/>
              </w:rPr>
              <w:lastRenderedPageBreak/>
              <w:t>independent large-scale channel realizations (taking into account LOS/NLOS probability and shadow fading). The realization that results in the minimum pathloss between the IAB-node and the associated serving IAB-node/donor is selected.</w:t>
            </w:r>
          </w:p>
          <w:p w14:paraId="02769502" w14:textId="77777777" w:rsidR="00AA48EB" w:rsidRDefault="00AA48EB">
            <w:pPr>
              <w:pStyle w:val="TAL"/>
              <w:rPr>
                <w:lang w:eastAsia="ja-JP"/>
              </w:rPr>
            </w:pPr>
          </w:p>
        </w:tc>
      </w:tr>
      <w:tr w:rsidR="00AA48EB" w14:paraId="48B2B459" w14:textId="77777777" w:rsidTr="00AA48EB">
        <w:trPr>
          <w:trHeight w:val="132"/>
        </w:trPr>
        <w:tc>
          <w:tcPr>
            <w:tcW w:w="3728" w:type="dxa"/>
            <w:tcBorders>
              <w:top w:val="single" w:sz="4" w:space="0" w:color="auto"/>
              <w:left w:val="single" w:sz="4" w:space="0" w:color="auto"/>
              <w:bottom w:val="single" w:sz="4" w:space="0" w:color="auto"/>
              <w:right w:val="single" w:sz="4" w:space="0" w:color="auto"/>
            </w:tcBorders>
            <w:hideMark/>
          </w:tcPr>
          <w:p w14:paraId="02D57A79" w14:textId="77777777" w:rsidR="00AA48EB" w:rsidRDefault="00AA48EB">
            <w:pPr>
              <w:pStyle w:val="TAL"/>
              <w:rPr>
                <w:lang w:eastAsia="ja-JP"/>
              </w:rPr>
            </w:pPr>
            <w:r>
              <w:rPr>
                <w:lang w:eastAsia="ja-JP"/>
              </w:rPr>
              <w:lastRenderedPageBreak/>
              <w:t xml:space="preserve">mIAB node Tx power </w:t>
            </w:r>
          </w:p>
        </w:tc>
        <w:tc>
          <w:tcPr>
            <w:tcW w:w="5481" w:type="dxa"/>
            <w:tcBorders>
              <w:top w:val="single" w:sz="4" w:space="0" w:color="auto"/>
              <w:left w:val="single" w:sz="4" w:space="0" w:color="auto"/>
              <w:bottom w:val="single" w:sz="4" w:space="0" w:color="auto"/>
              <w:right w:val="single" w:sz="4" w:space="0" w:color="auto"/>
            </w:tcBorders>
          </w:tcPr>
          <w:p w14:paraId="52C83478" w14:textId="77777777" w:rsidR="00AA48EB" w:rsidRDefault="00AA48EB">
            <w:pPr>
              <w:pStyle w:val="TAL"/>
              <w:rPr>
                <w:lang w:eastAsia="ja-JP"/>
              </w:rPr>
            </w:pPr>
            <w:r>
              <w:rPr>
                <w:u w:val="single"/>
                <w:lang w:eastAsia="ja-JP"/>
              </w:rPr>
              <w:t>FR1 &amp; FR2</w:t>
            </w:r>
            <w:r>
              <w:rPr>
                <w:lang w:eastAsia="ja-JP"/>
              </w:rPr>
              <w:t>: 33dBm as a baseline (based on Rel-16 study)</w:t>
            </w:r>
          </w:p>
          <w:p w14:paraId="6591C87E" w14:textId="77777777" w:rsidR="00AA48EB" w:rsidRDefault="00AA48EB">
            <w:pPr>
              <w:pStyle w:val="TAL"/>
              <w:rPr>
                <w:lang w:eastAsia="ja-JP"/>
              </w:rPr>
            </w:pPr>
            <w:r>
              <w:rPr>
                <w:lang w:eastAsia="ja-JP"/>
              </w:rPr>
              <w:t>Note: Final value would be derived based on the coexistence study.</w:t>
            </w:r>
          </w:p>
          <w:p w14:paraId="24C58602" w14:textId="77777777" w:rsidR="00AA48EB" w:rsidRDefault="00AA48EB">
            <w:pPr>
              <w:pStyle w:val="TAL"/>
              <w:rPr>
                <w:lang w:eastAsia="ja-JP"/>
              </w:rPr>
            </w:pPr>
          </w:p>
        </w:tc>
      </w:tr>
      <w:tr w:rsidR="00AA48EB" w14:paraId="2B8DE90A" w14:textId="77777777" w:rsidTr="00AA48EB">
        <w:trPr>
          <w:trHeight w:val="1752"/>
        </w:trPr>
        <w:tc>
          <w:tcPr>
            <w:tcW w:w="3728" w:type="dxa"/>
            <w:tcBorders>
              <w:top w:val="single" w:sz="4" w:space="0" w:color="auto"/>
              <w:left w:val="single" w:sz="4" w:space="0" w:color="auto"/>
              <w:bottom w:val="single" w:sz="4" w:space="0" w:color="auto"/>
              <w:right w:val="single" w:sz="4" w:space="0" w:color="auto"/>
            </w:tcBorders>
            <w:hideMark/>
          </w:tcPr>
          <w:p w14:paraId="0ABD87F6" w14:textId="77777777" w:rsidR="00AA48EB" w:rsidRDefault="00AA48EB">
            <w:pPr>
              <w:pStyle w:val="TAL"/>
              <w:rPr>
                <w:lang w:eastAsia="ja-JP"/>
              </w:rPr>
            </w:pPr>
            <w:r>
              <w:rPr>
                <w:lang w:eastAsia="ja-JP"/>
              </w:rPr>
              <w:t>mIAB node antenna configurations</w:t>
            </w:r>
          </w:p>
        </w:tc>
        <w:tc>
          <w:tcPr>
            <w:tcW w:w="5481" w:type="dxa"/>
            <w:tcBorders>
              <w:top w:val="single" w:sz="4" w:space="0" w:color="auto"/>
              <w:left w:val="single" w:sz="4" w:space="0" w:color="auto"/>
              <w:bottom w:val="single" w:sz="4" w:space="0" w:color="auto"/>
              <w:right w:val="single" w:sz="4" w:space="0" w:color="auto"/>
            </w:tcBorders>
          </w:tcPr>
          <w:p w14:paraId="2415A2BD" w14:textId="77777777" w:rsidR="00AA48EB" w:rsidRDefault="00AA48EB">
            <w:pPr>
              <w:pStyle w:val="TAL"/>
              <w:rPr>
                <w:lang w:eastAsia="ja-JP"/>
              </w:rPr>
            </w:pPr>
            <w:r>
              <w:rPr>
                <w:u w:val="single"/>
                <w:lang w:eastAsia="ja-JP"/>
              </w:rPr>
              <w:t>FR1</w:t>
            </w:r>
            <w:r>
              <w:rPr>
                <w:lang w:eastAsia="ja-JP"/>
              </w:rPr>
              <w:t>:</w:t>
            </w:r>
          </w:p>
          <w:p w14:paraId="6D10F33D" w14:textId="77777777" w:rsidR="00AA48EB" w:rsidRDefault="00AA48EB">
            <w:pPr>
              <w:pStyle w:val="TAL"/>
              <w:rPr>
                <w:lang w:val="de-DE" w:eastAsia="ja-JP"/>
              </w:rPr>
            </w:pPr>
            <w:r>
              <w:rPr>
                <w:lang w:val="de-DE" w:eastAsia="ja-JP"/>
              </w:rPr>
              <w:t>(Mg,Ng,M,N,P)=(1,1,8,8,2),  dH,dV)=(0.5,0.0.5)</w:t>
            </w:r>
            <w:r>
              <w:rPr>
                <w:lang w:eastAsia="ja-JP"/>
              </w:rPr>
              <w:t>λ</w:t>
            </w:r>
          </w:p>
          <w:p w14:paraId="3E506F69" w14:textId="77777777" w:rsidR="00AA48EB" w:rsidRDefault="00AA48EB">
            <w:pPr>
              <w:pStyle w:val="TAL"/>
              <w:rPr>
                <w:sz w:val="24"/>
                <w:lang w:val="en-GB" w:eastAsia="ja-JP"/>
              </w:rPr>
            </w:pPr>
            <w:r>
              <w:rPr>
                <w:lang w:eastAsia="ja-JP"/>
              </w:rPr>
              <w:t xml:space="preserve">mIAB node antenna element gain: 5 dBi </w:t>
            </w:r>
          </w:p>
          <w:p w14:paraId="2ECED98D" w14:textId="77777777" w:rsidR="00AA48EB" w:rsidRDefault="00AA48EB">
            <w:pPr>
              <w:pStyle w:val="TAL"/>
              <w:rPr>
                <w:lang w:eastAsia="ja-JP"/>
              </w:rPr>
            </w:pPr>
          </w:p>
          <w:p w14:paraId="507CB7DC" w14:textId="77777777" w:rsidR="00AA48EB" w:rsidRDefault="00AA48EB">
            <w:pPr>
              <w:pStyle w:val="TAL"/>
              <w:rPr>
                <w:lang w:eastAsia="ja-JP"/>
              </w:rPr>
            </w:pPr>
            <w:r>
              <w:rPr>
                <w:u w:val="single"/>
                <w:lang w:eastAsia="ja-JP"/>
              </w:rPr>
              <w:t>FR2</w:t>
            </w:r>
            <w:r>
              <w:rPr>
                <w:lang w:eastAsia="ja-JP"/>
              </w:rPr>
              <w:t>:</w:t>
            </w:r>
          </w:p>
          <w:p w14:paraId="5BA65141" w14:textId="376AC6DA" w:rsidR="00AA48EB" w:rsidRDefault="00EF37E0">
            <w:pPr>
              <w:pStyle w:val="TAL"/>
              <w:rPr>
                <w:lang w:eastAsia="ja-JP"/>
              </w:rPr>
            </w:pPr>
            <w:r w:rsidRPr="0029552D">
              <w:rPr>
                <w:lang w:eastAsia="ja-JP"/>
              </w:rPr>
              <w:t>8</w:t>
            </w:r>
            <w:r w:rsidR="00AA48EB" w:rsidRPr="0029552D">
              <w:rPr>
                <w:lang w:eastAsia="ja-JP"/>
              </w:rPr>
              <w:t>x</w:t>
            </w:r>
            <w:r w:rsidRPr="0029552D">
              <w:rPr>
                <w:lang w:eastAsia="ja-JP"/>
              </w:rPr>
              <w:t>16</w:t>
            </w:r>
            <w:r w:rsidR="00AA48EB" w:rsidRPr="0029552D">
              <w:rPr>
                <w:lang w:eastAsia="ja-JP"/>
              </w:rPr>
              <w:t xml:space="preserve"> Antenna Array</w:t>
            </w:r>
          </w:p>
          <w:p w14:paraId="16881EC1" w14:textId="77777777" w:rsidR="00AA48EB" w:rsidRDefault="00AA48EB">
            <w:pPr>
              <w:pStyle w:val="TAL"/>
              <w:rPr>
                <w:lang w:val="de-DE" w:eastAsia="ja-JP"/>
              </w:rPr>
            </w:pPr>
            <w:r>
              <w:rPr>
                <w:lang w:val="de-DE" w:eastAsia="ja-JP"/>
              </w:rPr>
              <w:t>(Mg,Ng,M,N,P)=(1,1,8,16,2),  dH,dV)=(0.5,0.0.5)</w:t>
            </w:r>
            <w:r>
              <w:rPr>
                <w:lang w:eastAsia="ja-JP"/>
              </w:rPr>
              <w:t>λ</w:t>
            </w:r>
          </w:p>
          <w:p w14:paraId="7F109A6A" w14:textId="77777777" w:rsidR="00AA48EB" w:rsidRDefault="00AA48EB">
            <w:pPr>
              <w:pStyle w:val="TAL"/>
              <w:rPr>
                <w:lang w:val="en-GB" w:eastAsia="ja-JP"/>
              </w:rPr>
            </w:pPr>
            <w:r>
              <w:rPr>
                <w:lang w:eastAsia="ja-JP"/>
              </w:rPr>
              <w:t>mIAB node antenna element gain: 3 dBi</w:t>
            </w:r>
          </w:p>
          <w:p w14:paraId="3B00DF93" w14:textId="77777777" w:rsidR="00AA48EB" w:rsidRDefault="00AA48EB">
            <w:pPr>
              <w:pStyle w:val="TAL"/>
              <w:rPr>
                <w:sz w:val="24"/>
                <w:lang w:eastAsia="ja-JP"/>
              </w:rPr>
            </w:pPr>
            <w:r>
              <w:rPr>
                <w:lang w:eastAsia="ja-JP"/>
              </w:rPr>
              <w:t>Note 1, 2</w:t>
            </w:r>
          </w:p>
        </w:tc>
      </w:tr>
      <w:tr w:rsidR="00AA48EB" w14:paraId="4B50EE4E" w14:textId="77777777" w:rsidTr="00AA48EB">
        <w:trPr>
          <w:trHeight w:val="563"/>
        </w:trPr>
        <w:tc>
          <w:tcPr>
            <w:tcW w:w="3728" w:type="dxa"/>
            <w:tcBorders>
              <w:top w:val="single" w:sz="4" w:space="0" w:color="auto"/>
              <w:left w:val="single" w:sz="4" w:space="0" w:color="auto"/>
              <w:bottom w:val="single" w:sz="4" w:space="0" w:color="auto"/>
              <w:right w:val="single" w:sz="4" w:space="0" w:color="auto"/>
            </w:tcBorders>
            <w:hideMark/>
          </w:tcPr>
          <w:p w14:paraId="7E31E7EA" w14:textId="77777777" w:rsidR="00AA48EB" w:rsidRDefault="00AA48EB">
            <w:pPr>
              <w:pStyle w:val="TAL"/>
              <w:rPr>
                <w:lang w:eastAsia="ja-JP"/>
              </w:rPr>
            </w:pPr>
            <w:r>
              <w:rPr>
                <w:lang w:eastAsia="ja-JP"/>
              </w:rPr>
              <w:t xml:space="preserve">UE antenna configuration </w:t>
            </w:r>
          </w:p>
        </w:tc>
        <w:tc>
          <w:tcPr>
            <w:tcW w:w="5481" w:type="dxa"/>
            <w:tcBorders>
              <w:top w:val="single" w:sz="4" w:space="0" w:color="auto"/>
              <w:left w:val="single" w:sz="4" w:space="0" w:color="auto"/>
              <w:bottom w:val="single" w:sz="4" w:space="0" w:color="auto"/>
              <w:right w:val="single" w:sz="4" w:space="0" w:color="auto"/>
            </w:tcBorders>
          </w:tcPr>
          <w:p w14:paraId="5B9B008E" w14:textId="77777777" w:rsidR="00AA48EB" w:rsidRDefault="00AA48EB">
            <w:pPr>
              <w:pStyle w:val="TAL"/>
              <w:rPr>
                <w:lang w:eastAsia="ko-KR"/>
              </w:rPr>
            </w:pPr>
            <w:r>
              <w:t>See Table A.2.1-4 of TR8.802.</w:t>
            </w:r>
          </w:p>
          <w:p w14:paraId="64712DDC" w14:textId="77777777" w:rsidR="00AA48EB" w:rsidRDefault="00AA48EB">
            <w:pPr>
              <w:pStyle w:val="TAL"/>
              <w:rPr>
                <w:lang w:eastAsia="ja-JP"/>
              </w:rPr>
            </w:pPr>
          </w:p>
          <w:p w14:paraId="64F94ECD" w14:textId="77777777" w:rsidR="00AA48EB" w:rsidRDefault="00AA48EB">
            <w:pPr>
              <w:pStyle w:val="TAL"/>
              <w:rPr>
                <w:lang w:eastAsia="ja-JP"/>
              </w:rPr>
            </w:pPr>
            <w:r>
              <w:rPr>
                <w:lang w:eastAsia="ja-JP"/>
              </w:rPr>
              <w:t>UE height follows TR36.873</w:t>
            </w:r>
          </w:p>
        </w:tc>
      </w:tr>
      <w:tr w:rsidR="00AA48EB" w14:paraId="46095575" w14:textId="77777777" w:rsidTr="00AA48EB">
        <w:trPr>
          <w:trHeight w:val="149"/>
        </w:trPr>
        <w:tc>
          <w:tcPr>
            <w:tcW w:w="3728" w:type="dxa"/>
            <w:tcBorders>
              <w:top w:val="single" w:sz="4" w:space="0" w:color="auto"/>
              <w:left w:val="single" w:sz="4" w:space="0" w:color="auto"/>
              <w:bottom w:val="single" w:sz="4" w:space="0" w:color="auto"/>
              <w:right w:val="single" w:sz="4" w:space="0" w:color="auto"/>
            </w:tcBorders>
            <w:hideMark/>
          </w:tcPr>
          <w:p w14:paraId="7AD30C63" w14:textId="77777777" w:rsidR="00AA48EB" w:rsidRDefault="00AA48EB">
            <w:pPr>
              <w:pStyle w:val="TAL"/>
              <w:rPr>
                <w:lang w:eastAsia="ja-JP"/>
              </w:rPr>
            </w:pPr>
            <w:r>
              <w:rPr>
                <w:lang w:eastAsia="ja-JP"/>
              </w:rPr>
              <w:t xml:space="preserve">IAB node antenna height </w:t>
            </w:r>
          </w:p>
        </w:tc>
        <w:tc>
          <w:tcPr>
            <w:tcW w:w="5481" w:type="dxa"/>
            <w:tcBorders>
              <w:top w:val="single" w:sz="4" w:space="0" w:color="auto"/>
              <w:left w:val="single" w:sz="4" w:space="0" w:color="auto"/>
              <w:bottom w:val="single" w:sz="4" w:space="0" w:color="auto"/>
              <w:right w:val="single" w:sz="4" w:space="0" w:color="auto"/>
            </w:tcBorders>
            <w:hideMark/>
          </w:tcPr>
          <w:p w14:paraId="0D8F1AF1" w14:textId="77777777" w:rsidR="00AA48EB" w:rsidRDefault="00AA48EB">
            <w:pPr>
              <w:pStyle w:val="TAL"/>
              <w:rPr>
                <w:lang w:eastAsia="ja-JP"/>
              </w:rPr>
            </w:pPr>
            <w:r>
              <w:rPr>
                <w:lang w:eastAsia="ja-JP"/>
              </w:rPr>
              <w:t>4 m</w:t>
            </w:r>
          </w:p>
        </w:tc>
      </w:tr>
      <w:tr w:rsidR="00AA48EB" w14:paraId="2ED314B2" w14:textId="77777777" w:rsidTr="00AA48EB">
        <w:trPr>
          <w:trHeight w:val="141"/>
        </w:trPr>
        <w:tc>
          <w:tcPr>
            <w:tcW w:w="3728" w:type="dxa"/>
            <w:tcBorders>
              <w:top w:val="single" w:sz="4" w:space="0" w:color="auto"/>
              <w:left w:val="single" w:sz="4" w:space="0" w:color="auto"/>
              <w:bottom w:val="single" w:sz="4" w:space="0" w:color="auto"/>
              <w:right w:val="single" w:sz="4" w:space="0" w:color="auto"/>
            </w:tcBorders>
            <w:hideMark/>
          </w:tcPr>
          <w:p w14:paraId="6F205566" w14:textId="77777777" w:rsidR="00AA48EB" w:rsidRDefault="00AA48EB">
            <w:pPr>
              <w:pStyle w:val="TAL"/>
              <w:rPr>
                <w:lang w:eastAsia="ja-JP"/>
              </w:rPr>
            </w:pPr>
            <w:r>
              <w:rPr>
                <w:lang w:eastAsia="ja-JP"/>
              </w:rPr>
              <w:t>IAB node receiver noise figure</w:t>
            </w:r>
          </w:p>
        </w:tc>
        <w:tc>
          <w:tcPr>
            <w:tcW w:w="5481" w:type="dxa"/>
            <w:tcBorders>
              <w:top w:val="single" w:sz="4" w:space="0" w:color="auto"/>
              <w:left w:val="single" w:sz="4" w:space="0" w:color="auto"/>
              <w:bottom w:val="single" w:sz="4" w:space="0" w:color="auto"/>
              <w:right w:val="single" w:sz="4" w:space="0" w:color="auto"/>
            </w:tcBorders>
            <w:hideMark/>
          </w:tcPr>
          <w:p w14:paraId="46791979" w14:textId="77777777" w:rsidR="00AA48EB" w:rsidRDefault="00AA48EB">
            <w:pPr>
              <w:pStyle w:val="TAL"/>
              <w:rPr>
                <w:lang w:eastAsia="ja-JP"/>
              </w:rPr>
            </w:pPr>
            <w:r>
              <w:rPr>
                <w:lang w:eastAsia="ja-JP"/>
              </w:rPr>
              <w:t>9 dB for FR1 and 10dB for FR2</w:t>
            </w:r>
          </w:p>
        </w:tc>
      </w:tr>
      <w:tr w:rsidR="00AA48EB" w14:paraId="39103A34" w14:textId="77777777" w:rsidTr="00AA48EB">
        <w:trPr>
          <w:trHeight w:val="141"/>
        </w:trPr>
        <w:tc>
          <w:tcPr>
            <w:tcW w:w="9209" w:type="dxa"/>
            <w:gridSpan w:val="2"/>
            <w:tcBorders>
              <w:top w:val="single" w:sz="4" w:space="0" w:color="auto"/>
              <w:left w:val="single" w:sz="4" w:space="0" w:color="auto"/>
              <w:bottom w:val="single" w:sz="4" w:space="0" w:color="auto"/>
              <w:right w:val="single" w:sz="4" w:space="0" w:color="auto"/>
            </w:tcBorders>
            <w:hideMark/>
          </w:tcPr>
          <w:p w14:paraId="72CDAD0E" w14:textId="77777777" w:rsidR="00AA48EB" w:rsidRPr="002512F2" w:rsidRDefault="00AA48EB">
            <w:pPr>
              <w:pStyle w:val="TAN"/>
              <w:rPr>
                <w:lang w:eastAsia="ja-JP"/>
              </w:rPr>
            </w:pPr>
            <w:r>
              <w:t>Note 1:</w:t>
            </w:r>
            <w:r>
              <w:tab/>
            </w:r>
            <w:r w:rsidRPr="002512F2">
              <w:rPr>
                <w:lang w:eastAsia="ja-JP"/>
              </w:rPr>
              <w:t>Mg = number of antenna panels in elevation, Ng – number of antenna panels in azimuth, M = number of antenna elements/subarrays in elevation, N= number of antenna elements/subarrays in azimuth, P = number of polarizations.</w:t>
            </w:r>
          </w:p>
          <w:p w14:paraId="5774DB5C" w14:textId="77777777" w:rsidR="00AA48EB" w:rsidRDefault="00AA48EB">
            <w:pPr>
              <w:pStyle w:val="TAL"/>
              <w:rPr>
                <w:lang w:val="en-GB" w:eastAsia="ja-JP"/>
              </w:rPr>
            </w:pPr>
            <w:r w:rsidRPr="002512F2">
              <w:rPr>
                <w:lang w:eastAsia="ja-JP"/>
              </w:rPr>
              <w:t>Note 2:</w:t>
            </w:r>
            <w:r w:rsidRPr="002512F2">
              <w:tab/>
            </w:r>
            <w:r w:rsidRPr="002512F2">
              <w:rPr>
                <w:lang w:eastAsia="ja-JP"/>
              </w:rPr>
              <w:t>TX power is specified per polarization, a single polarization may be simulated under the assumption of polarization match.</w:t>
            </w:r>
          </w:p>
        </w:tc>
      </w:tr>
    </w:tbl>
    <w:p w14:paraId="5609A280" w14:textId="77777777" w:rsidR="00FC4F0B" w:rsidRDefault="00FC4F0B" w:rsidP="00F81FFA"/>
    <w:bookmarkEnd w:id="4"/>
    <w:p w14:paraId="21C72081" w14:textId="09981913" w:rsidR="00AA48EB" w:rsidRDefault="00F81FFA" w:rsidP="00F81FFA">
      <w:r>
        <w:t>In this contribution we</w:t>
      </w:r>
      <w:r w:rsidR="000A1BB6">
        <w:t xml:space="preserve"> </w:t>
      </w:r>
      <w:r w:rsidR="005F044F">
        <w:t>present our initial simulation results.</w:t>
      </w:r>
    </w:p>
    <w:p w14:paraId="0B1C871B" w14:textId="77777777" w:rsidR="0060543D" w:rsidRPr="00EF698B" w:rsidRDefault="0060543D" w:rsidP="005C23A4"/>
    <w:p w14:paraId="6077D260" w14:textId="237390AD" w:rsidR="003B659E" w:rsidRPr="00EF698B" w:rsidRDefault="3704BAB3" w:rsidP="00AE56B1">
      <w:pPr>
        <w:pStyle w:val="RAN4H1"/>
        <w:rPr>
          <w:lang w:val="en-US"/>
        </w:rPr>
      </w:pPr>
      <w:bookmarkStart w:id="5" w:name="_Toc116995842"/>
      <w:r w:rsidRPr="78BEC7C7">
        <w:rPr>
          <w:lang w:val="en-US"/>
        </w:rPr>
        <w:t xml:space="preserve"> </w:t>
      </w:r>
      <w:r w:rsidR="2052CEFA" w:rsidRPr="78BEC7C7">
        <w:rPr>
          <w:lang w:val="en-US"/>
        </w:rPr>
        <w:t xml:space="preserve"> </w:t>
      </w:r>
      <w:r w:rsidR="003B659E" w:rsidRPr="78BEC7C7">
        <w:rPr>
          <w:lang w:val="en-US"/>
        </w:rPr>
        <w:t>Discussion</w:t>
      </w:r>
      <w:bookmarkEnd w:id="5"/>
    </w:p>
    <w:p w14:paraId="58EA0D00" w14:textId="135CFB34" w:rsidR="00CB22B2" w:rsidRDefault="168EE14A" w:rsidP="00496606">
      <w:pPr>
        <w:pStyle w:val="RAN4H2"/>
      </w:pPr>
      <w:r>
        <w:t xml:space="preserve">  </w:t>
      </w:r>
      <w:r w:rsidR="64DA186D">
        <w:t>O</w:t>
      </w:r>
      <w:r w:rsidR="00AA48EB">
        <w:t>pen issues for evaluation assumptions</w:t>
      </w:r>
    </w:p>
    <w:p w14:paraId="5AC21EF7" w14:textId="3B8591DA" w:rsidR="0060543D" w:rsidRDefault="00AA48EB" w:rsidP="0060543D">
      <w:r>
        <w:t>It was left for further discussion “</w:t>
      </w:r>
      <w:r w:rsidRPr="00AA48EB">
        <w:rPr>
          <w:i/>
          <w:iCs/>
        </w:rPr>
        <w:t>Whether the O2I car penetration loss in TR 38.901 is applicable for the interference link for mobile IAB DU and further discuss differences to propagation models considered in TR 38.809</w:t>
      </w:r>
      <w:r>
        <w:t>”.</w:t>
      </w:r>
    </w:p>
    <w:p w14:paraId="0E392CCB" w14:textId="52649BC2" w:rsidR="00AA48EB" w:rsidRDefault="00AA48EB" w:rsidP="78BEC7C7">
      <w:r>
        <w:t>Regarding the</w:t>
      </w:r>
      <w:r w:rsidR="00F53315">
        <w:t xml:space="preserve"> loss between the in-car mIAB cell and outdoor cells</w:t>
      </w:r>
      <w:r>
        <w:t>,</w:t>
      </w:r>
      <w:r w:rsidR="00F53315">
        <w:t xml:space="preserve"> the O2I car penetration loss model defined in 38.901 seems a valid model to approximate the loss between the </w:t>
      </w:r>
      <w:r w:rsidR="287C21CB">
        <w:t xml:space="preserve">in-vehicle and outdoor </w:t>
      </w:r>
      <w:r w:rsidR="00F53315">
        <w:t>cells</w:t>
      </w:r>
      <w:r w:rsidR="408279A5">
        <w:t>. The model is valid between 0.5 - 6</w:t>
      </w:r>
      <w:r w:rsidR="5B4B2B25">
        <w:t xml:space="preserve">0 GHz. </w:t>
      </w:r>
      <w:r w:rsidR="777E9C2C">
        <w:t>C</w:t>
      </w:r>
      <w:r w:rsidR="5B4B2B25">
        <w:t xml:space="preserve">urrent values for </w:t>
      </w:r>
      <w:r w:rsidR="5B4B2B25" w:rsidRPr="78BEC7C7">
        <w:rPr>
          <w:rFonts w:eastAsia="Times New Roman" w:cs="Times New Roman"/>
          <w:i/>
          <w:iCs/>
          <w:sz w:val="19"/>
          <w:szCs w:val="19"/>
          <w:lang w:val="en-GB"/>
        </w:rPr>
        <w:t>μ</w:t>
      </w:r>
      <w:r w:rsidR="5B4B2B25" w:rsidRPr="78BEC7C7">
        <w:rPr>
          <w:rFonts w:eastAsia="Times New Roman" w:cs="Times New Roman"/>
          <w:sz w:val="19"/>
          <w:szCs w:val="19"/>
          <w:lang w:val="en-GB"/>
        </w:rPr>
        <w:t xml:space="preserve"> = 9, and σ</w:t>
      </w:r>
      <w:r w:rsidR="5B4B2B25" w:rsidRPr="78BEC7C7">
        <w:rPr>
          <w:rFonts w:eastAsia="Times New Roman" w:cs="Times New Roman"/>
          <w:i/>
          <w:iCs/>
          <w:sz w:val="19"/>
          <w:szCs w:val="19"/>
          <w:vertAlign w:val="subscript"/>
          <w:lang w:val="en-GB"/>
        </w:rPr>
        <w:t>P</w:t>
      </w:r>
      <w:r w:rsidR="5B4B2B25" w:rsidRPr="78BEC7C7">
        <w:rPr>
          <w:rFonts w:eastAsia="Times New Roman" w:cs="Times New Roman"/>
          <w:sz w:val="19"/>
          <w:szCs w:val="19"/>
          <w:lang w:val="en-GB"/>
        </w:rPr>
        <w:t xml:space="preserve"> = 5</w:t>
      </w:r>
      <w:r w:rsidR="00F53315">
        <w:t xml:space="preserve"> </w:t>
      </w:r>
      <w:r w:rsidR="75E2CBCB">
        <w:t>can be used</w:t>
      </w:r>
      <w:r w:rsidR="083DDB72">
        <w:t xml:space="preserve"> unless other values are justified by new measurement results</w:t>
      </w:r>
      <w:r w:rsidR="75E2CBCB">
        <w:t xml:space="preserve">. </w:t>
      </w:r>
      <w:r w:rsidR="0FA7BF62">
        <w:t xml:space="preserve">With this, we see no reason not to use the mode for </w:t>
      </w:r>
      <w:r w:rsidR="00F53315">
        <w:t>mIAB co-existence evaluation.</w:t>
      </w:r>
    </w:p>
    <w:p w14:paraId="7E781B05" w14:textId="51EAC0B3" w:rsidR="00F53315" w:rsidRPr="00F53315" w:rsidRDefault="00F53315" w:rsidP="0060543D">
      <w:pPr>
        <w:rPr>
          <w:b/>
          <w:bCs/>
        </w:rPr>
      </w:pPr>
      <w:r w:rsidRPr="00F53315">
        <w:rPr>
          <w:b/>
          <w:bCs/>
        </w:rPr>
        <w:t>Proposal 1. O2I car penetration loss -model in 38.901 can be used for mIAB co-existence studies.</w:t>
      </w:r>
    </w:p>
    <w:p w14:paraId="12BD2BCC" w14:textId="2C57488A" w:rsidR="00AA48EB" w:rsidRDefault="7E432EFC" w:rsidP="00AA48EB">
      <w:pPr>
        <w:pStyle w:val="RAN4H2"/>
      </w:pPr>
      <w:r>
        <w:t xml:space="preserve">  </w:t>
      </w:r>
      <w:r w:rsidR="00AA48EB">
        <w:t>Evaluation results</w:t>
      </w:r>
    </w:p>
    <w:p w14:paraId="2A62476A" w14:textId="230B1466" w:rsidR="00AA48EB" w:rsidRPr="0060543D" w:rsidRDefault="6B0A24E0" w:rsidP="0060543D">
      <w:r>
        <w:t xml:space="preserve">We have carried preliminary simulations for UL </w:t>
      </w:r>
      <w:r w:rsidR="00440DAE">
        <w:t xml:space="preserve">coexistence </w:t>
      </w:r>
      <w:r>
        <w:t xml:space="preserve">with </w:t>
      </w:r>
      <w:r w:rsidR="234873AE">
        <w:t>following main assumptions:</w:t>
      </w:r>
    </w:p>
    <w:p w14:paraId="02BBB55B" w14:textId="6C855E13" w:rsidR="00AA48EB" w:rsidRPr="0060543D" w:rsidRDefault="00CF74D5" w:rsidP="0029552D">
      <w:pPr>
        <w:pStyle w:val="ListParagraph"/>
        <w:numPr>
          <w:ilvl w:val="0"/>
          <w:numId w:val="1"/>
        </w:numPr>
        <w:rPr>
          <w:rFonts w:eastAsia="Calibri"/>
          <w:szCs w:val="20"/>
        </w:rPr>
      </w:pPr>
      <w:r>
        <w:t xml:space="preserve">Used network layout: </w:t>
      </w:r>
      <w:proofErr w:type="gramStart"/>
      <w:r w:rsidR="749CE9E9">
        <w:t>Layout1</w:t>
      </w:r>
      <w:proofErr w:type="gramEnd"/>
      <w:r w:rsidR="749CE9E9">
        <w:t xml:space="preserve"> </w:t>
      </w:r>
    </w:p>
    <w:p w14:paraId="676F0CB6" w14:textId="067A79B4" w:rsidR="00AA48EB" w:rsidRPr="0060543D" w:rsidRDefault="749CE9E9" w:rsidP="0029552D">
      <w:pPr>
        <w:pStyle w:val="ListParagraph"/>
        <w:numPr>
          <w:ilvl w:val="0"/>
          <w:numId w:val="1"/>
        </w:numPr>
        <w:rPr>
          <w:rFonts w:eastAsia="Calibri"/>
          <w:szCs w:val="20"/>
        </w:rPr>
      </w:pPr>
      <w:r w:rsidRPr="78BEC7C7">
        <w:rPr>
          <w:rFonts w:eastAsia="Calibri"/>
          <w:szCs w:val="20"/>
        </w:rPr>
        <w:t>Co-located IAB/RAN deployment</w:t>
      </w:r>
    </w:p>
    <w:p w14:paraId="2E6BD2E3" w14:textId="1427A465" w:rsidR="00AA48EB" w:rsidRDefault="749CE9E9">
      <w:pPr>
        <w:pStyle w:val="ListParagraph"/>
        <w:numPr>
          <w:ilvl w:val="0"/>
          <w:numId w:val="1"/>
        </w:numPr>
        <w:rPr>
          <w:rFonts w:eastAsia="Calibri"/>
          <w:szCs w:val="20"/>
        </w:rPr>
      </w:pPr>
      <w:r w:rsidRPr="00440DAE">
        <w:rPr>
          <w:rFonts w:eastAsia="Calibri"/>
          <w:szCs w:val="20"/>
        </w:rPr>
        <w:t xml:space="preserve">BW </w:t>
      </w:r>
      <w:r w:rsidR="005134F5" w:rsidRPr="00440DAE">
        <w:rPr>
          <w:rFonts w:eastAsia="Calibri"/>
          <w:szCs w:val="20"/>
        </w:rPr>
        <w:t>200</w:t>
      </w:r>
      <w:r w:rsidRPr="00440DAE">
        <w:rPr>
          <w:rFonts w:eastAsia="Calibri"/>
          <w:szCs w:val="20"/>
        </w:rPr>
        <w:t>MHz</w:t>
      </w:r>
    </w:p>
    <w:p w14:paraId="4FDA6C6A" w14:textId="16F26707" w:rsidR="00440DAE" w:rsidRPr="00440DAE" w:rsidRDefault="00440DAE" w:rsidP="00440DAE">
      <w:pPr>
        <w:pStyle w:val="ListParagraph"/>
        <w:numPr>
          <w:ilvl w:val="0"/>
          <w:numId w:val="1"/>
        </w:numPr>
        <w:rPr>
          <w:rFonts w:eastAsia="Calibri"/>
          <w:szCs w:val="20"/>
        </w:rPr>
      </w:pPr>
      <w:r>
        <w:rPr>
          <w:rFonts w:eastAsia="Calibri"/>
          <w:szCs w:val="20"/>
        </w:rPr>
        <w:t>Band FR2</w:t>
      </w:r>
    </w:p>
    <w:p w14:paraId="48539CFB" w14:textId="12D41092" w:rsidR="00AA48EB" w:rsidRPr="0060543D" w:rsidRDefault="749CE9E9" w:rsidP="0029552D">
      <w:pPr>
        <w:pStyle w:val="ListParagraph"/>
        <w:numPr>
          <w:ilvl w:val="0"/>
          <w:numId w:val="1"/>
        </w:numPr>
        <w:rPr>
          <w:rFonts w:eastAsia="Calibri"/>
          <w:szCs w:val="20"/>
        </w:rPr>
      </w:pPr>
      <w:r w:rsidRPr="78BEC7C7">
        <w:rPr>
          <w:rFonts w:eastAsia="Calibri"/>
          <w:szCs w:val="20"/>
        </w:rPr>
        <w:t>Uniform (random) drop of mIAB-nodes</w:t>
      </w:r>
      <w:r w:rsidR="00440DAE">
        <w:rPr>
          <w:rFonts w:eastAsia="Calibri"/>
          <w:szCs w:val="20"/>
        </w:rPr>
        <w:t xml:space="preserve">, one per </w:t>
      </w:r>
      <w:proofErr w:type="gramStart"/>
      <w:r w:rsidR="00440DAE">
        <w:rPr>
          <w:rFonts w:eastAsia="Calibri"/>
          <w:szCs w:val="20"/>
        </w:rPr>
        <w:t>cell</w:t>
      </w:r>
      <w:proofErr w:type="gramEnd"/>
    </w:p>
    <w:p w14:paraId="5E50CA50" w14:textId="558084F7" w:rsidR="00AA48EB" w:rsidRDefault="749CE9E9">
      <w:pPr>
        <w:pStyle w:val="ListParagraph"/>
        <w:numPr>
          <w:ilvl w:val="0"/>
          <w:numId w:val="1"/>
        </w:numPr>
        <w:rPr>
          <w:rFonts w:eastAsia="Calibri"/>
          <w:szCs w:val="20"/>
        </w:rPr>
      </w:pPr>
      <w:r w:rsidRPr="78BEC7C7">
        <w:rPr>
          <w:rFonts w:eastAsia="Calibri"/>
          <w:szCs w:val="20"/>
        </w:rPr>
        <w:t xml:space="preserve">IAB-MT TX power </w:t>
      </w:r>
      <w:r w:rsidR="00B5064A">
        <w:rPr>
          <w:rFonts w:eastAsia="Calibri"/>
          <w:szCs w:val="20"/>
        </w:rPr>
        <w:t xml:space="preserve">= </w:t>
      </w:r>
      <w:r w:rsidRPr="78BEC7C7">
        <w:rPr>
          <w:rFonts w:eastAsia="Calibri"/>
          <w:szCs w:val="20"/>
        </w:rPr>
        <w:t xml:space="preserve">33dBm, UL </w:t>
      </w:r>
      <w:r w:rsidR="005134F5">
        <w:rPr>
          <w:rFonts w:eastAsia="Calibri"/>
          <w:szCs w:val="20"/>
        </w:rPr>
        <w:t>F</w:t>
      </w:r>
      <w:r w:rsidRPr="78BEC7C7">
        <w:rPr>
          <w:rFonts w:eastAsia="Calibri"/>
          <w:szCs w:val="20"/>
        </w:rPr>
        <w:t>PC ON</w:t>
      </w:r>
      <w:r w:rsidR="005134F5">
        <w:rPr>
          <w:rFonts w:eastAsia="Calibri"/>
          <w:szCs w:val="20"/>
        </w:rPr>
        <w:t xml:space="preserve"> (</w:t>
      </w:r>
      <w:r w:rsidR="005134F5" w:rsidRPr="00440DAE">
        <w:rPr>
          <w:rFonts w:eastAsia="Calibri"/>
          <w:szCs w:val="20"/>
        </w:rPr>
        <w:t>for both UEs and IAB-MTs</w:t>
      </w:r>
      <w:r w:rsidR="005134F5">
        <w:rPr>
          <w:rFonts w:eastAsia="Calibri"/>
          <w:szCs w:val="20"/>
        </w:rPr>
        <w:t>)</w:t>
      </w:r>
    </w:p>
    <w:p w14:paraId="2FA2AEF4" w14:textId="14281816" w:rsidR="00B5064A" w:rsidRDefault="00B5064A" w:rsidP="00B5064A">
      <w:pPr>
        <w:pStyle w:val="ListParagraph"/>
        <w:numPr>
          <w:ilvl w:val="0"/>
          <w:numId w:val="1"/>
        </w:numPr>
        <w:rPr>
          <w:rFonts w:eastAsia="Calibri"/>
          <w:szCs w:val="20"/>
        </w:rPr>
      </w:pPr>
      <w:r>
        <w:rPr>
          <w:rFonts w:eastAsia="Calibri"/>
          <w:szCs w:val="20"/>
        </w:rPr>
        <w:t>IAB MT FPC range = 13 dB</w:t>
      </w:r>
    </w:p>
    <w:p w14:paraId="64CADED5" w14:textId="114174EF" w:rsidR="005134F5" w:rsidRPr="00440DAE" w:rsidRDefault="005134F5" w:rsidP="005134F5">
      <w:pPr>
        <w:pStyle w:val="ListParagraph"/>
        <w:numPr>
          <w:ilvl w:val="0"/>
          <w:numId w:val="1"/>
        </w:numPr>
        <w:rPr>
          <w:rFonts w:eastAsia="Calibri"/>
          <w:szCs w:val="20"/>
        </w:rPr>
      </w:pPr>
      <w:r w:rsidRPr="00440DAE">
        <w:rPr>
          <w:rFonts w:eastAsia="Calibri"/>
          <w:szCs w:val="20"/>
        </w:rPr>
        <w:t>IAB MT ACLR = 16 dB</w:t>
      </w:r>
    </w:p>
    <w:p w14:paraId="1806C88F" w14:textId="6D7464F8" w:rsidR="00AA48EB" w:rsidRPr="00440DAE" w:rsidRDefault="63A2BDD5" w:rsidP="0029552D">
      <w:pPr>
        <w:rPr>
          <w:rFonts w:eastAsia="Calibri"/>
          <w:szCs w:val="20"/>
        </w:rPr>
      </w:pPr>
      <w:r w:rsidRPr="00440DAE">
        <w:rPr>
          <w:rFonts w:eastAsia="Calibri"/>
          <w:szCs w:val="20"/>
        </w:rPr>
        <w:lastRenderedPageBreak/>
        <w:t xml:space="preserve">Fig.1 shows the </w:t>
      </w:r>
      <w:r w:rsidR="00440DAE">
        <w:rPr>
          <w:rFonts w:eastAsia="Calibri"/>
          <w:szCs w:val="20"/>
        </w:rPr>
        <w:t xml:space="preserve">SINR distribution with and without interference caused by mIAB nodes. </w:t>
      </w:r>
    </w:p>
    <w:p w14:paraId="6D445D1D" w14:textId="290F5BF3" w:rsidR="00AA48EB" w:rsidRPr="0060543D" w:rsidRDefault="00D477B2" w:rsidP="78BEC7C7">
      <w:r>
        <w:rPr>
          <w:noProof/>
        </w:rPr>
        <w:drawing>
          <wp:inline distT="0" distB="0" distL="0" distR="0" wp14:anchorId="1B3EDCB0" wp14:editId="60D3A5E8">
            <wp:extent cx="4480560" cy="3360420"/>
            <wp:effectExtent l="0" t="0" r="0" b="0"/>
            <wp:docPr id="1"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of a graph&#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4480888" cy="3360666"/>
                    </a:xfrm>
                    <a:prstGeom prst="rect">
                      <a:avLst/>
                    </a:prstGeom>
                  </pic:spPr>
                </pic:pic>
              </a:graphicData>
            </a:graphic>
          </wp:inline>
        </w:drawing>
      </w:r>
    </w:p>
    <w:p w14:paraId="2E6CE313" w14:textId="361D894D" w:rsidR="78BEC7C7" w:rsidRDefault="00440DAE" w:rsidP="4ACBF3B6">
      <w:pPr>
        <w:rPr>
          <w:rFonts w:eastAsia="Calibri"/>
        </w:rPr>
      </w:pPr>
      <w:r w:rsidRPr="4ACBF3B6">
        <w:rPr>
          <w:rFonts w:eastAsia="Calibri"/>
        </w:rPr>
        <w:t xml:space="preserve">With the given assumptions, the degradation of SINR resulted </w:t>
      </w:r>
      <w:r w:rsidR="788AA0E9" w:rsidRPr="4ACBF3B6">
        <w:rPr>
          <w:rFonts w:eastAsia="Calibri"/>
        </w:rPr>
        <w:t xml:space="preserve">by the </w:t>
      </w:r>
      <w:r w:rsidRPr="4ACBF3B6">
        <w:rPr>
          <w:rFonts w:eastAsia="Calibri"/>
        </w:rPr>
        <w:t>mIAB interference is marginal. Therefore, for the UL case where the mIAB is the aggressor, there will be no meaningful impact on the performance of the victim network.</w:t>
      </w:r>
    </w:p>
    <w:p w14:paraId="048545C1" w14:textId="1795B18A" w:rsidR="00440DAE" w:rsidRPr="00440DAE" w:rsidRDefault="00440DAE" w:rsidP="78BEC7C7">
      <w:pPr>
        <w:rPr>
          <w:rFonts w:eastAsia="Calibri"/>
          <w:b/>
          <w:bCs/>
          <w:szCs w:val="20"/>
        </w:rPr>
      </w:pPr>
      <w:r w:rsidRPr="00440DAE">
        <w:rPr>
          <w:rFonts w:eastAsia="Calibri"/>
          <w:b/>
          <w:bCs/>
          <w:szCs w:val="20"/>
        </w:rPr>
        <w:t xml:space="preserve">Observation 1. The SINR degradation due to the mIAB interference </w:t>
      </w:r>
      <w:r>
        <w:rPr>
          <w:rFonts w:eastAsia="Calibri"/>
          <w:b/>
          <w:bCs/>
          <w:szCs w:val="20"/>
        </w:rPr>
        <w:t xml:space="preserve">can be </w:t>
      </w:r>
      <w:r w:rsidRPr="00440DAE">
        <w:rPr>
          <w:rFonts w:eastAsia="Calibri"/>
          <w:b/>
          <w:bCs/>
          <w:szCs w:val="20"/>
        </w:rPr>
        <w:t>marginal.</w:t>
      </w:r>
    </w:p>
    <w:p w14:paraId="7D0BF4B7" w14:textId="3D8C51E0" w:rsidR="44270EF2" w:rsidRDefault="00440DAE" w:rsidP="78BEC7C7">
      <w:pPr>
        <w:rPr>
          <w:highlight w:val="yellow"/>
        </w:rPr>
      </w:pPr>
      <w:r w:rsidRPr="00E42FFF">
        <w:t xml:space="preserve">Further simulations for UE will be needed to evaluate if the mIAB-MT UL TX power control </w:t>
      </w:r>
      <w:r w:rsidR="00E42FFF" w:rsidRPr="00E42FFF">
        <w:t>was not supported.</w:t>
      </w:r>
    </w:p>
    <w:p w14:paraId="4B2DC734" w14:textId="77777777" w:rsidR="00E42FFF" w:rsidRDefault="00E42FFF" w:rsidP="78BEC7C7">
      <w:pPr>
        <w:rPr>
          <w:highlight w:val="yellow"/>
        </w:rPr>
      </w:pPr>
    </w:p>
    <w:p w14:paraId="642ABDF3" w14:textId="77777777" w:rsidR="00CD7492" w:rsidRPr="00EF698B" w:rsidRDefault="00CD7492" w:rsidP="00A37002">
      <w:pPr>
        <w:pStyle w:val="RAN4H1"/>
        <w:rPr>
          <w:lang w:val="en-US"/>
        </w:rPr>
      </w:pPr>
      <w:bookmarkStart w:id="6" w:name="_Toc116995848"/>
      <w:r w:rsidRPr="00EF698B">
        <w:rPr>
          <w:lang w:val="en-US"/>
        </w:rPr>
        <w:t>Conclusion</w:t>
      </w:r>
      <w:bookmarkEnd w:id="6"/>
    </w:p>
    <w:p w14:paraId="6354FF40" w14:textId="6DA94A35" w:rsidR="00AA48EB" w:rsidRDefault="00923E6F" w:rsidP="005C23A4">
      <w:r>
        <w:t>In this contribution, we</w:t>
      </w:r>
      <w:r w:rsidR="7682F97D">
        <w:t xml:space="preserve"> discussed the usage of O2I car penetration loss and showed preliminary simulation results for co-existence</w:t>
      </w:r>
      <w:r w:rsidR="0029552D">
        <w:t xml:space="preserve"> </w:t>
      </w:r>
      <w:r w:rsidR="1E05E5F3">
        <w:t xml:space="preserve">scenarios. We concluded following: </w:t>
      </w:r>
    </w:p>
    <w:p w14:paraId="1026A61D" w14:textId="51EAC0B3" w:rsidR="00AA48EB" w:rsidRDefault="28DEE409" w:rsidP="78BEC7C7">
      <w:pPr>
        <w:rPr>
          <w:b/>
          <w:bCs/>
        </w:rPr>
      </w:pPr>
      <w:r w:rsidRPr="78BEC7C7">
        <w:rPr>
          <w:b/>
          <w:bCs/>
        </w:rPr>
        <w:t>Proposal 1. O2I car penetration loss -model in 38.901 can be used for mIAB co-existence studies.</w:t>
      </w:r>
    </w:p>
    <w:p w14:paraId="33C84C71" w14:textId="0D13A45E" w:rsidR="00286A54" w:rsidRDefault="00E42FFF" w:rsidP="000A1BB6">
      <w:bookmarkStart w:id="7" w:name="_Toc116995849"/>
      <w:r>
        <w:t>Based on initial simulations, we observed following:</w:t>
      </w:r>
    </w:p>
    <w:p w14:paraId="36A7C555" w14:textId="77777777" w:rsidR="00E42FFF" w:rsidRPr="00440DAE" w:rsidRDefault="00E42FFF" w:rsidP="00E42FFF">
      <w:pPr>
        <w:rPr>
          <w:rFonts w:eastAsia="Calibri"/>
          <w:b/>
          <w:bCs/>
          <w:szCs w:val="20"/>
        </w:rPr>
      </w:pPr>
      <w:r w:rsidRPr="00440DAE">
        <w:rPr>
          <w:rFonts w:eastAsia="Calibri"/>
          <w:b/>
          <w:bCs/>
          <w:szCs w:val="20"/>
        </w:rPr>
        <w:t xml:space="preserve">Observation 1. The SINR degradation due to the mIAB interference </w:t>
      </w:r>
      <w:r>
        <w:rPr>
          <w:rFonts w:eastAsia="Calibri"/>
          <w:b/>
          <w:bCs/>
          <w:szCs w:val="20"/>
        </w:rPr>
        <w:t xml:space="preserve">can be </w:t>
      </w:r>
      <w:r w:rsidRPr="00440DAE">
        <w:rPr>
          <w:rFonts w:eastAsia="Calibri"/>
          <w:b/>
          <w:bCs/>
          <w:szCs w:val="20"/>
        </w:rPr>
        <w:t>marginal.</w:t>
      </w:r>
    </w:p>
    <w:p w14:paraId="5D4A0D7E" w14:textId="69AF2CAA" w:rsidR="00E42FFF" w:rsidRDefault="00E42FFF" w:rsidP="00E42FFF">
      <w:pPr>
        <w:rPr>
          <w:highlight w:val="yellow"/>
        </w:rPr>
      </w:pPr>
      <w:r w:rsidRPr="00E42FFF">
        <w:t>Further simulations for UE will be needed to evaluate if the mIAB-MT UL TX power control was not supported.</w:t>
      </w:r>
      <w:r>
        <w:t xml:space="preserve"> Other evaluations shall cover the DL connection as well as the interference scenarios between the in-vehicle (mIAB) cell and the outdoor cells.</w:t>
      </w:r>
    </w:p>
    <w:p w14:paraId="45956557" w14:textId="77777777" w:rsidR="00E42FFF" w:rsidRPr="00EF698B" w:rsidRDefault="00E42FFF" w:rsidP="000A1BB6"/>
    <w:p w14:paraId="07C65484" w14:textId="56E4AB32" w:rsidR="003B659E" w:rsidRPr="0060543D" w:rsidRDefault="003B659E" w:rsidP="0060543D">
      <w:pPr>
        <w:pStyle w:val="RAN4H1"/>
        <w:numPr>
          <w:ilvl w:val="0"/>
          <w:numId w:val="0"/>
        </w:numPr>
        <w:ind w:left="360" w:hanging="360"/>
      </w:pPr>
      <w:r w:rsidRPr="00EF698B">
        <w:t>References</w:t>
      </w:r>
      <w:bookmarkEnd w:id="7"/>
    </w:p>
    <w:p w14:paraId="02275E80" w14:textId="230D475A" w:rsidR="00F81FFA" w:rsidRDefault="00F81FFA" w:rsidP="00F81FFA">
      <w:pPr>
        <w:pStyle w:val="ListParagraph"/>
        <w:numPr>
          <w:ilvl w:val="0"/>
          <w:numId w:val="22"/>
        </w:numPr>
        <w:ind w:right="-22"/>
      </w:pPr>
      <w:bookmarkStart w:id="8" w:name="_Ref114500673"/>
      <w:bookmarkEnd w:id="8"/>
      <w:r w:rsidRPr="00B85140">
        <w:t xml:space="preserve">RP-222671, </w:t>
      </w:r>
      <w:r w:rsidRPr="00F81FFA">
        <w:t>Mobile IAB (Integrated Access and Backhaul) for NR</w:t>
      </w:r>
      <w:r w:rsidRPr="005853A9">
        <w:t xml:space="preserve"> </w:t>
      </w:r>
    </w:p>
    <w:p w14:paraId="31415F8B" w14:textId="147A84D2" w:rsidR="009469CF" w:rsidRDefault="00AA48EB" w:rsidP="00F81FFA">
      <w:pPr>
        <w:pStyle w:val="ListParagraph"/>
        <w:numPr>
          <w:ilvl w:val="0"/>
          <w:numId w:val="22"/>
        </w:numPr>
        <w:ind w:right="-22"/>
      </w:pPr>
      <w:r>
        <w:t>R4-2309863</w:t>
      </w:r>
      <w:r w:rsidR="009469CF">
        <w:t xml:space="preserve">, </w:t>
      </w:r>
      <w:r>
        <w:t>WF on mIAB RF requirements and coexistence</w:t>
      </w:r>
    </w:p>
    <w:p w14:paraId="52999991" w14:textId="77777777" w:rsidR="000040DC" w:rsidRDefault="000040DC" w:rsidP="000040DC">
      <w:pPr>
        <w:ind w:right="-22"/>
        <w:rPr>
          <w:highlight w:val="yellow"/>
        </w:rPr>
      </w:pPr>
    </w:p>
    <w:sectPr w:rsidR="000040D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EE084" w14:textId="77777777" w:rsidR="006B20F8" w:rsidRDefault="006B20F8" w:rsidP="00001C9B">
      <w:pPr>
        <w:spacing w:after="0" w:line="240" w:lineRule="auto"/>
      </w:pPr>
      <w:r>
        <w:separator/>
      </w:r>
    </w:p>
  </w:endnote>
  <w:endnote w:type="continuationSeparator" w:id="0">
    <w:p w14:paraId="28530748" w14:textId="77777777" w:rsidR="006B20F8" w:rsidRDefault="006B20F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Nokia Pure Headline">
    <w:panose1 w:val="020B0504040602060303"/>
    <w:charset w:val="EE"/>
    <w:family w:val="swiss"/>
    <w:pitch w:val="variable"/>
    <w:sig w:usb0="A00006EF" w:usb1="500020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6313C" w14:textId="77777777" w:rsidR="006B20F8" w:rsidRDefault="006B20F8" w:rsidP="00001C9B">
      <w:pPr>
        <w:spacing w:after="0" w:line="240" w:lineRule="auto"/>
      </w:pPr>
      <w:r>
        <w:separator/>
      </w:r>
    </w:p>
  </w:footnote>
  <w:footnote w:type="continuationSeparator" w:id="0">
    <w:p w14:paraId="019280E0" w14:textId="77777777" w:rsidR="006B20F8" w:rsidRDefault="006B20F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4AE816"/>
    <w:multiLevelType w:val="hybridMultilevel"/>
    <w:tmpl w:val="FC0E57B4"/>
    <w:lvl w:ilvl="0" w:tplc="F0C8A8B0">
      <w:start w:val="1"/>
      <w:numFmt w:val="bullet"/>
      <w:lvlText w:val="-"/>
      <w:lvlJc w:val="left"/>
      <w:pPr>
        <w:ind w:left="720" w:hanging="360"/>
      </w:pPr>
      <w:rPr>
        <w:rFonts w:ascii="Calibri" w:hAnsi="Calibri" w:hint="default"/>
      </w:rPr>
    </w:lvl>
    <w:lvl w:ilvl="1" w:tplc="DEFC20D0">
      <w:start w:val="1"/>
      <w:numFmt w:val="bullet"/>
      <w:lvlText w:val="o"/>
      <w:lvlJc w:val="left"/>
      <w:pPr>
        <w:ind w:left="1440" w:hanging="360"/>
      </w:pPr>
      <w:rPr>
        <w:rFonts w:ascii="Courier New" w:hAnsi="Courier New" w:hint="default"/>
      </w:rPr>
    </w:lvl>
    <w:lvl w:ilvl="2" w:tplc="4F003EE0">
      <w:start w:val="1"/>
      <w:numFmt w:val="bullet"/>
      <w:lvlText w:val=""/>
      <w:lvlJc w:val="left"/>
      <w:pPr>
        <w:ind w:left="2160" w:hanging="360"/>
      </w:pPr>
      <w:rPr>
        <w:rFonts w:ascii="Wingdings" w:hAnsi="Wingdings" w:hint="default"/>
      </w:rPr>
    </w:lvl>
    <w:lvl w:ilvl="3" w:tplc="9E7681B2">
      <w:start w:val="1"/>
      <w:numFmt w:val="bullet"/>
      <w:lvlText w:val=""/>
      <w:lvlJc w:val="left"/>
      <w:pPr>
        <w:ind w:left="2880" w:hanging="360"/>
      </w:pPr>
      <w:rPr>
        <w:rFonts w:ascii="Symbol" w:hAnsi="Symbol" w:hint="default"/>
      </w:rPr>
    </w:lvl>
    <w:lvl w:ilvl="4" w:tplc="30188114">
      <w:start w:val="1"/>
      <w:numFmt w:val="bullet"/>
      <w:lvlText w:val="o"/>
      <w:lvlJc w:val="left"/>
      <w:pPr>
        <w:ind w:left="3600" w:hanging="360"/>
      </w:pPr>
      <w:rPr>
        <w:rFonts w:ascii="Courier New" w:hAnsi="Courier New" w:hint="default"/>
      </w:rPr>
    </w:lvl>
    <w:lvl w:ilvl="5" w:tplc="732619E0">
      <w:start w:val="1"/>
      <w:numFmt w:val="bullet"/>
      <w:lvlText w:val=""/>
      <w:lvlJc w:val="left"/>
      <w:pPr>
        <w:ind w:left="4320" w:hanging="360"/>
      </w:pPr>
      <w:rPr>
        <w:rFonts w:ascii="Wingdings" w:hAnsi="Wingdings" w:hint="default"/>
      </w:rPr>
    </w:lvl>
    <w:lvl w:ilvl="6" w:tplc="1BE21B7C">
      <w:start w:val="1"/>
      <w:numFmt w:val="bullet"/>
      <w:lvlText w:val=""/>
      <w:lvlJc w:val="left"/>
      <w:pPr>
        <w:ind w:left="5040" w:hanging="360"/>
      </w:pPr>
      <w:rPr>
        <w:rFonts w:ascii="Symbol" w:hAnsi="Symbol" w:hint="default"/>
      </w:rPr>
    </w:lvl>
    <w:lvl w:ilvl="7" w:tplc="A718BD0C">
      <w:start w:val="1"/>
      <w:numFmt w:val="bullet"/>
      <w:lvlText w:val="o"/>
      <w:lvlJc w:val="left"/>
      <w:pPr>
        <w:ind w:left="5760" w:hanging="360"/>
      </w:pPr>
      <w:rPr>
        <w:rFonts w:ascii="Courier New" w:hAnsi="Courier New" w:hint="default"/>
      </w:rPr>
    </w:lvl>
    <w:lvl w:ilvl="8" w:tplc="EEAE21F8">
      <w:start w:val="1"/>
      <w:numFmt w:val="bullet"/>
      <w:lvlText w:val=""/>
      <w:lvlJc w:val="left"/>
      <w:pPr>
        <w:ind w:left="6480" w:hanging="360"/>
      </w:pPr>
      <w:rPr>
        <w:rFonts w:ascii="Wingdings" w:hAnsi="Wingdings" w:hint="default"/>
      </w:rPr>
    </w:lvl>
  </w:abstractNum>
  <w:abstractNum w:abstractNumId="4" w15:restartNumberingAfterBreak="0">
    <w:nsid w:val="16795505"/>
    <w:multiLevelType w:val="hybridMultilevel"/>
    <w:tmpl w:val="05A4D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875CF"/>
    <w:multiLevelType w:val="multilevel"/>
    <w:tmpl w:val="89540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8AE04B8"/>
    <w:multiLevelType w:val="hybridMultilevel"/>
    <w:tmpl w:val="5A920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1505E"/>
    <w:multiLevelType w:val="hybridMultilevel"/>
    <w:tmpl w:val="6C28A41A"/>
    <w:lvl w:ilvl="0" w:tplc="FFFFFFFF">
      <w:start w:val="1"/>
      <w:numFmt w:val="decimal"/>
      <w:lvlText w:val="Observation %1"/>
      <w:lvlJc w:val="left"/>
      <w:pPr>
        <w:ind w:left="360" w:hanging="360"/>
      </w:pPr>
    </w:lvl>
    <w:lvl w:ilvl="1" w:tplc="04090019">
      <w:start w:val="1"/>
      <w:numFmt w:val="lowerLetter"/>
      <w:lvlText w:val="%2."/>
      <w:lvlJc w:val="left"/>
      <w:pPr>
        <w:ind w:left="-90" w:hanging="360"/>
      </w:pPr>
    </w:lvl>
    <w:lvl w:ilvl="2" w:tplc="0409001B">
      <w:start w:val="1"/>
      <w:numFmt w:val="lowerRoman"/>
      <w:lvlText w:val="%3."/>
      <w:lvlJc w:val="right"/>
      <w:pPr>
        <w:ind w:left="630" w:hanging="180"/>
      </w:pPr>
    </w:lvl>
    <w:lvl w:ilvl="3" w:tplc="0409000F">
      <w:start w:val="1"/>
      <w:numFmt w:val="decimal"/>
      <w:lvlText w:val="%4."/>
      <w:lvlJc w:val="left"/>
      <w:pPr>
        <w:ind w:left="1350" w:hanging="360"/>
      </w:pPr>
    </w:lvl>
    <w:lvl w:ilvl="4" w:tplc="04090019">
      <w:start w:val="1"/>
      <w:numFmt w:val="lowerLetter"/>
      <w:lvlText w:val="%5."/>
      <w:lvlJc w:val="left"/>
      <w:pPr>
        <w:ind w:left="2070" w:hanging="360"/>
      </w:pPr>
    </w:lvl>
    <w:lvl w:ilvl="5" w:tplc="0409001B">
      <w:start w:val="1"/>
      <w:numFmt w:val="lowerRoman"/>
      <w:lvlText w:val="%6."/>
      <w:lvlJc w:val="right"/>
      <w:pPr>
        <w:ind w:left="2790" w:hanging="180"/>
      </w:pPr>
    </w:lvl>
    <w:lvl w:ilvl="6" w:tplc="0409000F">
      <w:start w:val="1"/>
      <w:numFmt w:val="decimal"/>
      <w:lvlText w:val="%7."/>
      <w:lvlJc w:val="left"/>
      <w:pPr>
        <w:ind w:left="3510" w:hanging="360"/>
      </w:pPr>
    </w:lvl>
    <w:lvl w:ilvl="7" w:tplc="04090019">
      <w:start w:val="1"/>
      <w:numFmt w:val="lowerLetter"/>
      <w:lvlText w:val="%8."/>
      <w:lvlJc w:val="left"/>
      <w:pPr>
        <w:ind w:left="4230" w:hanging="360"/>
      </w:pPr>
    </w:lvl>
    <w:lvl w:ilvl="8" w:tplc="0409001B">
      <w:start w:val="1"/>
      <w:numFmt w:val="lowerRoman"/>
      <w:lvlText w:val="%9."/>
      <w:lvlJc w:val="right"/>
      <w:pPr>
        <w:ind w:left="4950" w:hanging="180"/>
      </w:p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0C03D72"/>
    <w:multiLevelType w:val="hybridMultilevel"/>
    <w:tmpl w:val="60203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3861693">
    <w:abstractNumId w:val="3"/>
  </w:num>
  <w:num w:numId="2" w16cid:durableId="622229722">
    <w:abstractNumId w:val="1"/>
  </w:num>
  <w:num w:numId="3" w16cid:durableId="863520321">
    <w:abstractNumId w:val="7"/>
  </w:num>
  <w:num w:numId="4" w16cid:durableId="521289052">
    <w:abstractNumId w:val="13"/>
  </w:num>
  <w:num w:numId="5" w16cid:durableId="548031326">
    <w:abstractNumId w:val="6"/>
  </w:num>
  <w:num w:numId="6" w16cid:durableId="232473652">
    <w:abstractNumId w:val="18"/>
  </w:num>
  <w:num w:numId="7" w16cid:durableId="604190366">
    <w:abstractNumId w:val="10"/>
  </w:num>
  <w:num w:numId="8" w16cid:durableId="1701976504">
    <w:abstractNumId w:val="12"/>
  </w:num>
  <w:num w:numId="9" w16cid:durableId="1487018351">
    <w:abstractNumId w:val="12"/>
    <w:lvlOverride w:ilvl="0">
      <w:startOverride w:val="1"/>
    </w:lvlOverride>
  </w:num>
  <w:num w:numId="10" w16cid:durableId="839547052">
    <w:abstractNumId w:val="12"/>
    <w:lvlOverride w:ilvl="0">
      <w:startOverride w:val="1"/>
    </w:lvlOverride>
  </w:num>
  <w:num w:numId="11" w16cid:durableId="1296445194">
    <w:abstractNumId w:val="12"/>
    <w:lvlOverride w:ilvl="0">
      <w:startOverride w:val="1"/>
    </w:lvlOverride>
  </w:num>
  <w:num w:numId="12" w16cid:durableId="2035105636">
    <w:abstractNumId w:val="10"/>
    <w:lvlOverride w:ilvl="0">
      <w:startOverride w:val="1"/>
    </w:lvlOverride>
  </w:num>
  <w:num w:numId="13" w16cid:durableId="313412936">
    <w:abstractNumId w:val="12"/>
    <w:lvlOverride w:ilvl="0">
      <w:startOverride w:val="1"/>
    </w:lvlOverride>
  </w:num>
  <w:num w:numId="14" w16cid:durableId="1593926717">
    <w:abstractNumId w:val="10"/>
    <w:lvlOverride w:ilvl="0">
      <w:startOverride w:val="1"/>
    </w:lvlOverride>
  </w:num>
  <w:num w:numId="15" w16cid:durableId="1061368157">
    <w:abstractNumId w:val="12"/>
    <w:lvlOverride w:ilvl="0">
      <w:startOverride w:val="1"/>
    </w:lvlOverride>
  </w:num>
  <w:num w:numId="16" w16cid:durableId="2014919042">
    <w:abstractNumId w:val="20"/>
  </w:num>
  <w:num w:numId="17" w16cid:durableId="336201201">
    <w:abstractNumId w:val="5"/>
  </w:num>
  <w:num w:numId="18" w16cid:durableId="1700617454">
    <w:abstractNumId w:val="16"/>
  </w:num>
  <w:num w:numId="19" w16cid:durableId="1267232840">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7101134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1698713">
    <w:abstractNumId w:val="9"/>
  </w:num>
  <w:num w:numId="22" w16cid:durableId="658272819">
    <w:abstractNumId w:val="15"/>
  </w:num>
  <w:num w:numId="23" w16cid:durableId="398721113">
    <w:abstractNumId w:val="10"/>
    <w:lvlOverride w:ilvl="0">
      <w:startOverride w:val="1"/>
    </w:lvlOverride>
  </w:num>
  <w:num w:numId="24" w16cid:durableId="1079134016">
    <w:abstractNumId w:val="12"/>
    <w:lvlOverride w:ilvl="0">
      <w:startOverride w:val="1"/>
    </w:lvlOverride>
  </w:num>
  <w:num w:numId="25" w16cid:durableId="1472600043">
    <w:abstractNumId w:val="2"/>
  </w:num>
  <w:num w:numId="26" w16cid:durableId="1705128866">
    <w:abstractNumId w:val="0"/>
  </w:num>
  <w:num w:numId="27" w16cid:durableId="1126195947">
    <w:abstractNumId w:val="0"/>
    <w:lvlOverride w:ilvl="0">
      <w:startOverride w:val="1"/>
    </w:lvlOverride>
  </w:num>
  <w:num w:numId="28" w16cid:durableId="1689021376">
    <w:abstractNumId w:val="17"/>
  </w:num>
  <w:num w:numId="29" w16cid:durableId="1289125095">
    <w:abstractNumId w:val="8"/>
  </w:num>
  <w:num w:numId="30" w16cid:durableId="9823191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29913140">
    <w:abstractNumId w:val="19"/>
  </w:num>
  <w:num w:numId="32" w16cid:durableId="649939511">
    <w:abstractNumId w:val="4"/>
  </w:num>
  <w:num w:numId="33" w16cid:durableId="18048072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47D51"/>
    <w:rsid w:val="00001C9B"/>
    <w:rsid w:val="000040DC"/>
    <w:rsid w:val="000151EF"/>
    <w:rsid w:val="000239F5"/>
    <w:rsid w:val="00065005"/>
    <w:rsid w:val="0008612A"/>
    <w:rsid w:val="00090E18"/>
    <w:rsid w:val="000A10BC"/>
    <w:rsid w:val="000A1BB6"/>
    <w:rsid w:val="000B0056"/>
    <w:rsid w:val="000C3C7B"/>
    <w:rsid w:val="000D0F93"/>
    <w:rsid w:val="00106416"/>
    <w:rsid w:val="00110481"/>
    <w:rsid w:val="001127C9"/>
    <w:rsid w:val="00115B88"/>
    <w:rsid w:val="00132F6A"/>
    <w:rsid w:val="00133913"/>
    <w:rsid w:val="00140221"/>
    <w:rsid w:val="001642FC"/>
    <w:rsid w:val="0016496B"/>
    <w:rsid w:val="001743E2"/>
    <w:rsid w:val="001745F8"/>
    <w:rsid w:val="001838CF"/>
    <w:rsid w:val="001868EE"/>
    <w:rsid w:val="0019515B"/>
    <w:rsid w:val="001A3BA4"/>
    <w:rsid w:val="001A6D1F"/>
    <w:rsid w:val="001E30F6"/>
    <w:rsid w:val="00217EE5"/>
    <w:rsid w:val="00235F5C"/>
    <w:rsid w:val="002512F2"/>
    <w:rsid w:val="00257FA3"/>
    <w:rsid w:val="00277B56"/>
    <w:rsid w:val="00286A54"/>
    <w:rsid w:val="0029552D"/>
    <w:rsid w:val="002A19F5"/>
    <w:rsid w:val="002B4922"/>
    <w:rsid w:val="002C22C3"/>
    <w:rsid w:val="002C2D19"/>
    <w:rsid w:val="002D10FA"/>
    <w:rsid w:val="002D4C55"/>
    <w:rsid w:val="002E6DED"/>
    <w:rsid w:val="00300956"/>
    <w:rsid w:val="00317187"/>
    <w:rsid w:val="0032499A"/>
    <w:rsid w:val="003341F7"/>
    <w:rsid w:val="00347FEC"/>
    <w:rsid w:val="00356F45"/>
    <w:rsid w:val="00366B74"/>
    <w:rsid w:val="003A710A"/>
    <w:rsid w:val="003B659E"/>
    <w:rsid w:val="003C275E"/>
    <w:rsid w:val="003C4FDE"/>
    <w:rsid w:val="003E58DF"/>
    <w:rsid w:val="00404C4C"/>
    <w:rsid w:val="0041423F"/>
    <w:rsid w:val="00414F81"/>
    <w:rsid w:val="00436A0F"/>
    <w:rsid w:val="00437150"/>
    <w:rsid w:val="0043750A"/>
    <w:rsid w:val="00440DAE"/>
    <w:rsid w:val="004732E9"/>
    <w:rsid w:val="004854BB"/>
    <w:rsid w:val="00496606"/>
    <w:rsid w:val="004E5E66"/>
    <w:rsid w:val="004E7ADB"/>
    <w:rsid w:val="00503B4D"/>
    <w:rsid w:val="00504EE9"/>
    <w:rsid w:val="005134F5"/>
    <w:rsid w:val="00521576"/>
    <w:rsid w:val="005250E6"/>
    <w:rsid w:val="00542D23"/>
    <w:rsid w:val="0054442C"/>
    <w:rsid w:val="00550285"/>
    <w:rsid w:val="00562492"/>
    <w:rsid w:val="005637B2"/>
    <w:rsid w:val="00572A20"/>
    <w:rsid w:val="005836F8"/>
    <w:rsid w:val="005918FA"/>
    <w:rsid w:val="00592A86"/>
    <w:rsid w:val="005B4801"/>
    <w:rsid w:val="005C23A4"/>
    <w:rsid w:val="005D1CDF"/>
    <w:rsid w:val="005D2BB7"/>
    <w:rsid w:val="005E61A8"/>
    <w:rsid w:val="005F044F"/>
    <w:rsid w:val="005F6419"/>
    <w:rsid w:val="0060543D"/>
    <w:rsid w:val="006104DD"/>
    <w:rsid w:val="006130B5"/>
    <w:rsid w:val="00617400"/>
    <w:rsid w:val="00632D29"/>
    <w:rsid w:val="00664950"/>
    <w:rsid w:val="00683220"/>
    <w:rsid w:val="00687FA0"/>
    <w:rsid w:val="006A3C11"/>
    <w:rsid w:val="006B20F8"/>
    <w:rsid w:val="006B7010"/>
    <w:rsid w:val="006C3095"/>
    <w:rsid w:val="006E1151"/>
    <w:rsid w:val="006E6311"/>
    <w:rsid w:val="007145FF"/>
    <w:rsid w:val="00715B2A"/>
    <w:rsid w:val="007274C2"/>
    <w:rsid w:val="007450F1"/>
    <w:rsid w:val="00751515"/>
    <w:rsid w:val="0076221B"/>
    <w:rsid w:val="007626B7"/>
    <w:rsid w:val="0078212B"/>
    <w:rsid w:val="00784DF6"/>
    <w:rsid w:val="00785232"/>
    <w:rsid w:val="007B186C"/>
    <w:rsid w:val="007C1696"/>
    <w:rsid w:val="007C3ED0"/>
    <w:rsid w:val="007C5971"/>
    <w:rsid w:val="007F54B9"/>
    <w:rsid w:val="00806A76"/>
    <w:rsid w:val="00811C9D"/>
    <w:rsid w:val="00816C80"/>
    <w:rsid w:val="0084032B"/>
    <w:rsid w:val="00841BCD"/>
    <w:rsid w:val="00851A8E"/>
    <w:rsid w:val="0085365B"/>
    <w:rsid w:val="00857830"/>
    <w:rsid w:val="00866B7D"/>
    <w:rsid w:val="008826C1"/>
    <w:rsid w:val="00883DFD"/>
    <w:rsid w:val="008A1BF7"/>
    <w:rsid w:val="008A5B0E"/>
    <w:rsid w:val="008B0961"/>
    <w:rsid w:val="0090091A"/>
    <w:rsid w:val="009042BD"/>
    <w:rsid w:val="00923E6F"/>
    <w:rsid w:val="00936159"/>
    <w:rsid w:val="009469CF"/>
    <w:rsid w:val="00954414"/>
    <w:rsid w:val="00977E1D"/>
    <w:rsid w:val="00983888"/>
    <w:rsid w:val="009B0573"/>
    <w:rsid w:val="009B7B4B"/>
    <w:rsid w:val="009B7C21"/>
    <w:rsid w:val="009F1C2F"/>
    <w:rsid w:val="00A04992"/>
    <w:rsid w:val="00A147AA"/>
    <w:rsid w:val="00A21D71"/>
    <w:rsid w:val="00A22B78"/>
    <w:rsid w:val="00A25AE5"/>
    <w:rsid w:val="00A37002"/>
    <w:rsid w:val="00A4355E"/>
    <w:rsid w:val="00A92BCD"/>
    <w:rsid w:val="00AA1B0E"/>
    <w:rsid w:val="00AA47B6"/>
    <w:rsid w:val="00AA48EB"/>
    <w:rsid w:val="00AB2C0E"/>
    <w:rsid w:val="00AC163B"/>
    <w:rsid w:val="00AC5CA7"/>
    <w:rsid w:val="00AC6058"/>
    <w:rsid w:val="00AE2BA5"/>
    <w:rsid w:val="00AE56B1"/>
    <w:rsid w:val="00AE6D09"/>
    <w:rsid w:val="00AF7A7C"/>
    <w:rsid w:val="00B11D68"/>
    <w:rsid w:val="00B408B6"/>
    <w:rsid w:val="00B5064A"/>
    <w:rsid w:val="00B542DA"/>
    <w:rsid w:val="00B73862"/>
    <w:rsid w:val="00B73F43"/>
    <w:rsid w:val="00B8087E"/>
    <w:rsid w:val="00BA6B66"/>
    <w:rsid w:val="00BA6E48"/>
    <w:rsid w:val="00BB3A0E"/>
    <w:rsid w:val="00BE0AF6"/>
    <w:rsid w:val="00BE1F03"/>
    <w:rsid w:val="00BE58A7"/>
    <w:rsid w:val="00BF2218"/>
    <w:rsid w:val="00C0426B"/>
    <w:rsid w:val="00C045DF"/>
    <w:rsid w:val="00C26D43"/>
    <w:rsid w:val="00C46548"/>
    <w:rsid w:val="00C574D5"/>
    <w:rsid w:val="00C73F32"/>
    <w:rsid w:val="00C87462"/>
    <w:rsid w:val="00CA180C"/>
    <w:rsid w:val="00CB22B2"/>
    <w:rsid w:val="00CC3EE2"/>
    <w:rsid w:val="00CD7492"/>
    <w:rsid w:val="00CE3A6B"/>
    <w:rsid w:val="00CF74D5"/>
    <w:rsid w:val="00D00211"/>
    <w:rsid w:val="00D06309"/>
    <w:rsid w:val="00D351EA"/>
    <w:rsid w:val="00D40288"/>
    <w:rsid w:val="00D43403"/>
    <w:rsid w:val="00D46034"/>
    <w:rsid w:val="00D477B2"/>
    <w:rsid w:val="00D5270B"/>
    <w:rsid w:val="00D62E71"/>
    <w:rsid w:val="00D6430D"/>
    <w:rsid w:val="00D66188"/>
    <w:rsid w:val="00D731F6"/>
    <w:rsid w:val="00D740CA"/>
    <w:rsid w:val="00D85728"/>
    <w:rsid w:val="00D95481"/>
    <w:rsid w:val="00DC7A13"/>
    <w:rsid w:val="00DF2997"/>
    <w:rsid w:val="00E10BC4"/>
    <w:rsid w:val="00E1415D"/>
    <w:rsid w:val="00E323E9"/>
    <w:rsid w:val="00E34018"/>
    <w:rsid w:val="00E42FFF"/>
    <w:rsid w:val="00E437D2"/>
    <w:rsid w:val="00E47D51"/>
    <w:rsid w:val="00E55751"/>
    <w:rsid w:val="00EA2311"/>
    <w:rsid w:val="00EC7BC3"/>
    <w:rsid w:val="00ED7600"/>
    <w:rsid w:val="00EF37E0"/>
    <w:rsid w:val="00EF6073"/>
    <w:rsid w:val="00EF698B"/>
    <w:rsid w:val="00F1362C"/>
    <w:rsid w:val="00F414F1"/>
    <w:rsid w:val="00F508B8"/>
    <w:rsid w:val="00F53315"/>
    <w:rsid w:val="00F72CB1"/>
    <w:rsid w:val="00F77BCA"/>
    <w:rsid w:val="00F81FFA"/>
    <w:rsid w:val="00F8215E"/>
    <w:rsid w:val="00F824F5"/>
    <w:rsid w:val="00F90FAB"/>
    <w:rsid w:val="00F9374D"/>
    <w:rsid w:val="00FC29B9"/>
    <w:rsid w:val="00FC4F0B"/>
    <w:rsid w:val="00FC6FD3"/>
    <w:rsid w:val="00FD424D"/>
    <w:rsid w:val="00FE305C"/>
    <w:rsid w:val="00FF0301"/>
    <w:rsid w:val="01AC07BA"/>
    <w:rsid w:val="01E2F4BE"/>
    <w:rsid w:val="026D9794"/>
    <w:rsid w:val="04421223"/>
    <w:rsid w:val="058AEC9C"/>
    <w:rsid w:val="05A53856"/>
    <w:rsid w:val="05F2C878"/>
    <w:rsid w:val="07A71135"/>
    <w:rsid w:val="083DDB72"/>
    <w:rsid w:val="0A099757"/>
    <w:rsid w:val="0D7CD624"/>
    <w:rsid w:val="0F1BC31B"/>
    <w:rsid w:val="0FA19844"/>
    <w:rsid w:val="0FA7BF62"/>
    <w:rsid w:val="11438FC3"/>
    <w:rsid w:val="11665723"/>
    <w:rsid w:val="1385A232"/>
    <w:rsid w:val="14FD63AE"/>
    <w:rsid w:val="168EE14A"/>
    <w:rsid w:val="1820C9A9"/>
    <w:rsid w:val="19CD9778"/>
    <w:rsid w:val="1BFAA9B6"/>
    <w:rsid w:val="1C43A860"/>
    <w:rsid w:val="1E05E5F3"/>
    <w:rsid w:val="1E932B3B"/>
    <w:rsid w:val="1F1B7462"/>
    <w:rsid w:val="2052CEFA"/>
    <w:rsid w:val="21EE0838"/>
    <w:rsid w:val="232639AC"/>
    <w:rsid w:val="234873AE"/>
    <w:rsid w:val="237479BE"/>
    <w:rsid w:val="240A28F8"/>
    <w:rsid w:val="271AC085"/>
    <w:rsid w:val="287C21CB"/>
    <w:rsid w:val="28DEE409"/>
    <w:rsid w:val="28EB68D9"/>
    <w:rsid w:val="2C61B9B0"/>
    <w:rsid w:val="2D91571C"/>
    <w:rsid w:val="343F03CA"/>
    <w:rsid w:val="344E08FA"/>
    <w:rsid w:val="3704BAB3"/>
    <w:rsid w:val="38E991E2"/>
    <w:rsid w:val="392703CD"/>
    <w:rsid w:val="3938A941"/>
    <w:rsid w:val="3D4FFB9A"/>
    <w:rsid w:val="408279A5"/>
    <w:rsid w:val="41878325"/>
    <w:rsid w:val="44270EF2"/>
    <w:rsid w:val="44F7E2C5"/>
    <w:rsid w:val="4737C0D4"/>
    <w:rsid w:val="48087A52"/>
    <w:rsid w:val="4ACBF3B6"/>
    <w:rsid w:val="4EFCD8C4"/>
    <w:rsid w:val="4F2DDDE8"/>
    <w:rsid w:val="4FABB05B"/>
    <w:rsid w:val="501496B3"/>
    <w:rsid w:val="547673A8"/>
    <w:rsid w:val="57BA58AD"/>
    <w:rsid w:val="59C25C03"/>
    <w:rsid w:val="59C86A75"/>
    <w:rsid w:val="59E8CDC0"/>
    <w:rsid w:val="5AD8573B"/>
    <w:rsid w:val="5B4B2B25"/>
    <w:rsid w:val="6018752A"/>
    <w:rsid w:val="60685616"/>
    <w:rsid w:val="63A2BDD5"/>
    <w:rsid w:val="64DA186D"/>
    <w:rsid w:val="6548D6A9"/>
    <w:rsid w:val="69E1D8B1"/>
    <w:rsid w:val="6B0A24E0"/>
    <w:rsid w:val="6BF96D1C"/>
    <w:rsid w:val="6C5A4612"/>
    <w:rsid w:val="6CF03474"/>
    <w:rsid w:val="6D662D7C"/>
    <w:rsid w:val="6F907003"/>
    <w:rsid w:val="714C81B2"/>
    <w:rsid w:val="73427E73"/>
    <w:rsid w:val="749CE9E9"/>
    <w:rsid w:val="74DDF63A"/>
    <w:rsid w:val="75E2CBCB"/>
    <w:rsid w:val="7616FBDB"/>
    <w:rsid w:val="7682F97D"/>
    <w:rsid w:val="76F29FE5"/>
    <w:rsid w:val="777E9C2C"/>
    <w:rsid w:val="788AA0E9"/>
    <w:rsid w:val="78BEC7C7"/>
    <w:rsid w:val="791A6C8D"/>
    <w:rsid w:val="7BA247E5"/>
    <w:rsid w:val="7BC61108"/>
    <w:rsid w:val="7D61E169"/>
    <w:rsid w:val="7E2E1739"/>
    <w:rsid w:val="7E432EFC"/>
    <w:rsid w:val="7E9E9198"/>
    <w:rsid w:val="7F8386F3"/>
    <w:rsid w:val="7F89A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6BEB9"/>
  <w15:chartTrackingRefBased/>
  <w15:docId w15:val="{31D56B85-2301-47F6-94B9-3B74D3389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 ??,?????,????,Lista1,列出段落1,中等深浅网格 1 - 着色 21,列表段落,¥¡¡¡¡ì¬º¥¹¥È¶ÎÂä,ÁÐ³ö¶ÎÂä,列表段落1,—ño’i—Ž,¥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ind w:left="431" w:hanging="431"/>
    </w:pPr>
    <w:rPr>
      <w:lang w:val="en-US"/>
    </w:r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 ?? Char,????? Char,???? Char,Lista1 Char,列出段落1 Char,中等深浅网格 1 - 着色 21 Char,列表段落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nhideWhenUsed/>
    <w:qFormat/>
    <w:rsid w:val="00983888"/>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maintextChar">
    <w:name w:val="main text Char"/>
    <w:link w:val="maintext"/>
    <w:qFormat/>
    <w:locked/>
    <w:rsid w:val="00F81FFA"/>
    <w:rPr>
      <w:rFonts w:eastAsia="Malgun Gothic" w:cs="Batang"/>
      <w:lang w:eastAsia="ko-KR"/>
    </w:rPr>
  </w:style>
  <w:style w:type="paragraph" w:customStyle="1" w:styleId="maintext">
    <w:name w:val="main text"/>
    <w:basedOn w:val="Normal"/>
    <w:link w:val="maintextChar"/>
    <w:qFormat/>
    <w:rsid w:val="00F81FFA"/>
    <w:pPr>
      <w:spacing w:before="60" w:after="60" w:line="288" w:lineRule="auto"/>
      <w:ind w:firstLineChars="200" w:firstLine="200"/>
      <w:jc w:val="both"/>
    </w:pPr>
    <w:rPr>
      <w:rFonts w:asciiTheme="minorHAnsi" w:eastAsia="Malgun Gothic" w:hAnsiTheme="minorHAnsi" w:cs="Batang"/>
      <w:sz w:val="22"/>
      <w:lang w:eastAsia="ko-KR"/>
    </w:rPr>
  </w:style>
  <w:style w:type="paragraph" w:styleId="NormalWeb">
    <w:name w:val="Normal (Web)"/>
    <w:basedOn w:val="Normal"/>
    <w:uiPriority w:val="99"/>
    <w:semiHidden/>
    <w:unhideWhenUsed/>
    <w:rsid w:val="00923E6F"/>
    <w:pPr>
      <w:spacing w:before="100" w:beforeAutospacing="1" w:after="100" w:afterAutospacing="1" w:line="240" w:lineRule="auto"/>
    </w:pPr>
    <w:rPr>
      <w:rFonts w:eastAsia="Times New Roman" w:cs="Times New Roman"/>
      <w:sz w:val="24"/>
      <w:szCs w:val="24"/>
      <w:lang w:val="en-GB" w:eastAsia="en-GB"/>
    </w:rPr>
  </w:style>
  <w:style w:type="paragraph" w:customStyle="1" w:styleId="TH">
    <w:name w:val="TH"/>
    <w:basedOn w:val="Normal"/>
    <w:link w:val="THChar"/>
    <w:qFormat/>
    <w:rsid w:val="00923E6F"/>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923E6F"/>
    <w:rPr>
      <w:rFonts w:ascii="Arial" w:eastAsia="Times New Roman" w:hAnsi="Arial" w:cs="Times New Roman"/>
      <w:b/>
      <w:sz w:val="20"/>
      <w:szCs w:val="20"/>
      <w:lang w:val="en-GB" w:eastAsia="en-GB"/>
    </w:rPr>
  </w:style>
  <w:style w:type="paragraph" w:styleId="Revision">
    <w:name w:val="Revision"/>
    <w:hidden/>
    <w:uiPriority w:val="99"/>
    <w:semiHidden/>
    <w:rsid w:val="007274C2"/>
    <w:pPr>
      <w:spacing w:after="0" w:line="240" w:lineRule="auto"/>
    </w:pPr>
    <w:rPr>
      <w:rFonts w:ascii="Times New Roman" w:hAnsi="Times New Roman"/>
      <w:sz w:val="20"/>
    </w:rPr>
  </w:style>
  <w:style w:type="character" w:customStyle="1" w:styleId="B2Char">
    <w:name w:val="B2 Char"/>
    <w:basedOn w:val="DefaultParagraphFont"/>
    <w:link w:val="B2"/>
    <w:qFormat/>
    <w:locked/>
    <w:rsid w:val="00286A54"/>
  </w:style>
  <w:style w:type="paragraph" w:customStyle="1" w:styleId="B2">
    <w:name w:val="B2"/>
    <w:basedOn w:val="List2"/>
    <w:link w:val="B2Char"/>
    <w:qFormat/>
    <w:rsid w:val="00286A54"/>
    <w:pPr>
      <w:spacing w:line="256" w:lineRule="auto"/>
      <w:ind w:left="851" w:hanging="284"/>
      <w:contextualSpacing w:val="0"/>
    </w:pPr>
    <w:rPr>
      <w:rFonts w:asciiTheme="minorHAnsi" w:hAnsiTheme="minorHAnsi"/>
      <w:sz w:val="22"/>
    </w:rPr>
  </w:style>
  <w:style w:type="paragraph" w:styleId="List2">
    <w:name w:val="List 2"/>
    <w:basedOn w:val="Normal"/>
    <w:uiPriority w:val="99"/>
    <w:semiHidden/>
    <w:unhideWhenUsed/>
    <w:rsid w:val="00286A54"/>
    <w:pPr>
      <w:ind w:left="566" w:hanging="283"/>
      <w:contextualSpacing/>
    </w:pPr>
  </w:style>
  <w:style w:type="character" w:customStyle="1" w:styleId="TALChar">
    <w:name w:val="TAL Char"/>
    <w:link w:val="TAL"/>
    <w:locked/>
    <w:rsid w:val="00AA48EB"/>
    <w:rPr>
      <w:rFonts w:ascii="Arial" w:hAnsi="Arial"/>
      <w:sz w:val="18"/>
    </w:rPr>
  </w:style>
  <w:style w:type="paragraph" w:customStyle="1" w:styleId="TAL">
    <w:name w:val="TAL"/>
    <w:basedOn w:val="Normal"/>
    <w:link w:val="TALChar"/>
    <w:qFormat/>
    <w:rsid w:val="00AA48EB"/>
    <w:pPr>
      <w:keepNext/>
      <w:keepLines/>
      <w:spacing w:after="0" w:line="256" w:lineRule="auto"/>
    </w:pPr>
    <w:rPr>
      <w:rFonts w:ascii="Arial" w:hAnsi="Arial"/>
      <w:sz w:val="18"/>
    </w:rPr>
  </w:style>
  <w:style w:type="paragraph" w:customStyle="1" w:styleId="TAN">
    <w:name w:val="TAN"/>
    <w:basedOn w:val="TAL"/>
    <w:link w:val="TANChar"/>
    <w:qFormat/>
    <w:rsid w:val="00AA48EB"/>
    <w:pPr>
      <w:ind w:left="851" w:hanging="851"/>
    </w:pPr>
  </w:style>
  <w:style w:type="character" w:customStyle="1" w:styleId="TANChar">
    <w:name w:val="TAN Char"/>
    <w:link w:val="TAN"/>
    <w:qFormat/>
    <w:locked/>
    <w:rsid w:val="00AA48EB"/>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542">
      <w:bodyDiv w:val="1"/>
      <w:marLeft w:val="0"/>
      <w:marRight w:val="0"/>
      <w:marTop w:val="0"/>
      <w:marBottom w:val="0"/>
      <w:divBdr>
        <w:top w:val="none" w:sz="0" w:space="0" w:color="auto"/>
        <w:left w:val="none" w:sz="0" w:space="0" w:color="auto"/>
        <w:bottom w:val="none" w:sz="0" w:space="0" w:color="auto"/>
        <w:right w:val="none" w:sz="0" w:space="0" w:color="auto"/>
      </w:divBdr>
    </w:div>
    <w:div w:id="697701518">
      <w:bodyDiv w:val="1"/>
      <w:marLeft w:val="0"/>
      <w:marRight w:val="0"/>
      <w:marTop w:val="0"/>
      <w:marBottom w:val="0"/>
      <w:divBdr>
        <w:top w:val="none" w:sz="0" w:space="0" w:color="auto"/>
        <w:left w:val="none" w:sz="0" w:space="0" w:color="auto"/>
        <w:bottom w:val="none" w:sz="0" w:space="0" w:color="auto"/>
        <w:right w:val="none" w:sz="0" w:space="0" w:color="auto"/>
      </w:divBdr>
    </w:div>
    <w:div w:id="896160755">
      <w:bodyDiv w:val="1"/>
      <w:marLeft w:val="0"/>
      <w:marRight w:val="0"/>
      <w:marTop w:val="0"/>
      <w:marBottom w:val="0"/>
      <w:divBdr>
        <w:top w:val="none" w:sz="0" w:space="0" w:color="auto"/>
        <w:left w:val="none" w:sz="0" w:space="0" w:color="auto"/>
        <w:bottom w:val="none" w:sz="0" w:space="0" w:color="auto"/>
        <w:right w:val="none" w:sz="0" w:space="0" w:color="auto"/>
      </w:divBdr>
    </w:div>
    <w:div w:id="1081758165">
      <w:bodyDiv w:val="1"/>
      <w:marLeft w:val="0"/>
      <w:marRight w:val="0"/>
      <w:marTop w:val="0"/>
      <w:marBottom w:val="0"/>
      <w:divBdr>
        <w:top w:val="none" w:sz="0" w:space="0" w:color="auto"/>
        <w:left w:val="none" w:sz="0" w:space="0" w:color="auto"/>
        <w:bottom w:val="none" w:sz="0" w:space="0" w:color="auto"/>
        <w:right w:val="none" w:sz="0" w:space="0" w:color="auto"/>
      </w:divBdr>
    </w:div>
    <w:div w:id="1124888145">
      <w:bodyDiv w:val="1"/>
      <w:marLeft w:val="0"/>
      <w:marRight w:val="0"/>
      <w:marTop w:val="0"/>
      <w:marBottom w:val="0"/>
      <w:divBdr>
        <w:top w:val="none" w:sz="0" w:space="0" w:color="auto"/>
        <w:left w:val="none" w:sz="0" w:space="0" w:color="auto"/>
        <w:bottom w:val="none" w:sz="0" w:space="0" w:color="auto"/>
        <w:right w:val="none" w:sz="0" w:space="0" w:color="auto"/>
      </w:divBdr>
    </w:div>
    <w:div w:id="175185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06bis%20e-meeting\Contribution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5AIRPNAIUNRU-1328258698-25411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https://nokia.sharepoint.com/sites/c5g/5gradio/_layouts/15/DocIdRedir.aspx?ID=5AIRPNAIUNRU-1328258698-25411</Url>
      <Description>5AIRPNAIUNRU-1328258698-25411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239ED405-1389-4D0D-B1AB-2624C9AA32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3GPP_Paper_Template_RAN4_#106bis-e_Dimitri.dotx</Template>
  <TotalTime>1</TotalTime>
  <Pages>3</Pages>
  <Words>914</Words>
  <Characters>5216</Characters>
  <Application>Microsoft Office Word</Application>
  <DocSecurity>0</DocSecurity>
  <Lines>43</Lines>
  <Paragraphs>12</Paragraphs>
  <ScaleCrop>false</ScaleCrop>
  <Company/>
  <LinksUpToDate>false</LinksUpToDate>
  <CharactersWithSpaces>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Bartlomiej Golebiowski</dc:creator>
  <cp:keywords>3GPP;RAN4</cp:keywords>
  <dc:description/>
  <cp:lastModifiedBy>Nokia - Bartlomiej Golebiowski</cp:lastModifiedBy>
  <cp:revision>7</cp:revision>
  <dcterms:created xsi:type="dcterms:W3CDTF">2023-08-11T15:23:00Z</dcterms:created>
  <dcterms:modified xsi:type="dcterms:W3CDTF">2023-08-11T18:43:00Z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98ac8f87-319e-42b0-93ba-03f215f96b8d</vt:lpwstr>
  </property>
  <property fmtid="{D5CDD505-2E9C-101B-9397-08002B2CF9AE}" pid="11" name="MediaServiceImageTags">
    <vt:lpwstr/>
  </property>
</Properties>
</file>